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1A.159/2000 vom 29. September 2000</w:t>
      </w:r>
    </w:p>
    <w:p>
      <w:r>
        <w:t>Bundesgericht, 2000-09-29, IT</w:t>
      </w:r>
    </w:p>
    <w:p>
      <w:r>
        <w:rPr>
          <w:b/>
        </w:rPr>
        <w:t xml:space="preserve">Quelle: </w:t>
      </w:r>
      <w:r>
        <w:t>https://mcp.opencaselaw.ch/entscheid/bger_1A.159_2000</w:t>
      </w:r>
    </w:p>
    <w:p>
      <w:r>
        <w:t>FR: TF 1A.159/2000 du 29 septembre 2000</w:t>
      </w:r>
    </w:p>
    <w:p>
      <w:r>
        <w:t>IT: TF 1A.159/2000 del 29 settembre 2000</w:t>
      </w:r>
    </w:p>
    <w:p>
      <w:pPr>
        <w:pStyle w:val="Heading2"/>
      </w:pPr>
      <w:r>
        <w:t>Erwägungen</w:t>
      </w:r>
    </w:p>
    <w:p>
      <w:r>
        <w:rPr>
          <w:b/>
        </w:rPr>
        <w:t>E. 1</w:t>
      </w:r>
    </w:p>
    <w:p>
      <w:r>
        <w:t>a) Italia e Svizzera sono parti contraenti della Convenzione europea di assistenza giudiziaria in materia penale del 20 aprile 1959 (CEAG; RS 0.351. 1). La legge federale sull'assistenza internazionale in materia penale del 20 marzo 1981 (AIMP; RS 351. 1) e la sua ordinanza di applicazione (OAIMP; RS 351. 11) sono applicabili alle questioni che la prevalente Convenzione internazionale non regola espressamente o implicitamente, come pure quando il diritto nazionale sia più favorevole all'assistenza di quello convenzionale ( art. 1 cpv. 1 AIMP ; DTF 123 II 134 consid. 1a), fatto salvo il rispetto dei diritti fondamentali ( DTF 123 II 595 consid. 7c).</w:t>
      </w:r>
    </w:p>
    <w:p>
      <w:r>
        <w:t>b) Secondo la norma speciale dell' art. 25 cpv. 6 AIMP , il Tribunale federale non è vincolato dalle censure e dalle conclusioni delle parti; esso esamina liberamente se i presupposti per la concessione dell'assistenza sono adempiuti e in quale misura essa debba esser prestata ( DTF 123 II 134 consid. 1d, 118 Ib 269 consid. 2e). Non è tuttavia tenuto, come lo sarebbe un'autorità di vigilanza, a verificare la conformità delle decisioni impugnate con l'insieme delle norme applicabili ( DTF 123 II 134 consid. 1d). Le conclusioni che vanno oltre la richiesta di annullamento della decisione impugnata sono, di massima, ammissibili ( art. 25 cpv. 6 AIMP ; DTF 122 II 373 consid. 1c e rinvii).</w:t>
      </w:r>
    </w:p>
    <w:p>
      <w:r>
        <w:t>c) Interposto tempestivamente contro una decisione di trasmissione di documenti, acquisiti in esecuzione di una domanda di assistenza resa dall'Autorità federale di esecuzione, il ricorso di diritto amministrativo è ricevibile sotto il profilo dell' art. 80g cpv. 1 AIMP .</w:t>
      </w:r>
    </w:p>
    <w:p>
      <w:r>
        <w:t>d) Il gravame è stato presentato da un contitolare del conto oggetto della contestata misura di assistenza. La sua legittimazione a ricorrere è quindi pacifica ( art. 80h lett. b AIMP in relazione con l' art. 9a lett. a AIMP ; DTF 126 II 258 consid. 2d/aa, 125 II 356 consid. 3b/aa-bb).</w:t>
      </w:r>
    </w:p>
    <w:p>
      <w:r>
        <w:rPr>
          <w:b/>
        </w:rPr>
        <w:t>E. 2</w:t>
      </w:r>
    </w:p>
    <w:p>
      <w:r>
        <w:t>In via preliminare il ricorrente fa valere che la decisione impugnata, carente di motivazione, violerebbe l' art. 80d AIMP e il previgente art. 4 vCost.</w:t>
      </w:r>
    </w:p>
    <w:p>
      <w:r>
        <w:t>Il Tribunale federale, in numerose decisioni note al patrocinatore del ricorrente, ha precisato la portata delle invocate norme. Esso ha ritenuto che, nel caso di una decisione avente per oggetto unicamente la trasmissione delle informazioni richieste, l'indicazione degli atti da trasmettere, con la considerazione ch'essi non parrebbero, "prima facie", inutili per il procedimento penale estero (esame limitato alla rilevanza potenziale, DTF 122 II 367 consid. 2c, 112 Ib 576 consid. 14a pag. 604), adempie l'obbligo di motivazione poiché permette agli interessati di opporsi con conoscenza di causa alla trasmissione ( DTF 124 II 184 consid. 3 inedito, apparso in Rep 1998, pag. 152 segg.). Per di più, spettava al ricorrente partecipare alla cernita dei documenti sequestrati e indicare, in modo preciso, i motivi che si opponevano alla trasmissione di ogni singolo atto ( DTF 126 II 258 consid. 9b e c). La critica ricorsuale è quindi infondata. Del resto, un'eventuale violazione del diritto di essere sentito sarebbe stata sanata nell'ambito della presente procedura di ricorso ( DTF 124 II 132 consid. 2d, 117 Ib 64 consid. 4 pag. 87; Robert Zimmermann, La coopération judiciaire internationale en matière pénale, Berna 1999, n. 273).</w:t>
      </w:r>
    </w:p>
    <w:p>
      <w:r>
        <w:rPr>
          <w:b/>
        </w:rPr>
        <w:t>E. 3</w:t>
      </w:r>
    </w:p>
    <w:p>
      <w:r>
        <w:t>Il ricorrente fa valere che l'esposto dei fatti contenuto nella richiesta estera e nel suo complemento sarebbe lacunoso, a maggior ragione se si considera che non si sarebbe in presenza di una truffa in materia fiscale bensì di semplici evasioni fiscali.</w:t>
      </w:r>
    </w:p>
    <w:p>
      <w:r>
        <w:t>a) Secondo l' art. 2 lett. a CEAG , l'assistenza giudiziaria può essere rifiutata se la domanda si riferisce a fattispecie considerate dalla Parte richiesta come reati fiscali. L' art. 3 cpv. 3 AIMP precisa che la domanda è irricevibile se il procedimento verte su un reato che sembri volto a una decurtazione di tributi fiscali o violi disposizioni in materia di provvedimenti di politica monetaria, commerciale o economica; si può tuttavia dar seguito alla domanda secondo la parte terza dell'AIMP quando il procedimento verta su una truffa in materia fiscale. La giurisprudenza ammette in quest'ultimo caso l'obbligo di concedere l'assistenza, qualora siano adempiute le ulteriori condizioni ( DTF 125 II 250 consid. 2, 111 Ib 242 consid. 4c).</w:t>
      </w:r>
    </w:p>
    <w:p>
      <w:r>
        <w:t>b) In questo preciso ambito, perché la domanda possa essere accolta, l'autorità richiedente, pur non essendo tenuta a fornire una prova rigorosa, deve esporre sufficienti motivi di sospetto. Essi possono fondarsi su indizi - risultanti per esempio da testimonianze o da documenti - idonei a suffragare obiettivamente le indicazioni fornite dallo Stato estero, almeno nel senso che esse non appaiano del tutto prive di fondamento ( DTF 117 Ib 53 consid. 3 pag. 63 seg. , 116 Ib 96 consid. 4c, 115 Ib 68 consid. 3a/bb 3c; Zimmermann, op. cit. , n. 408 - 412). Ciò implica una deroga alla prassi secondo cui l'Autorità svizzera non deve, di regola, pronunciarsi sulla realtà dei fatti addotti ( DTF 117 Ib 63 pag. 88 consid. 5c in basso).</w:t>
      </w:r>
    </w:p>
    <w:p>
      <w:r>
        <w:t>c) Con sentenza dell'11 maggio 2000 il Tribunale federale ha respinto, in quanto ammissibile, un ricorso della società V.________ di B.________ &amp; Co. avverso una decisione di trasmissione del MPC fondata sulla medesima rogatoria. In effetti, secondo la domanda estera, gli inquisiti C.________, B.________ e F.________ avrebbero sistematicamente gonfiato, usando documenti falsi, le fatture d'intermediazioni pubblicitarie emesse dalle società Z.________ e Y.________, da loro gestite. Gli indagati avrebbero costituito un'associazione illecita finalizzata a consentire alle società clienti la creazione di disponibilità extracontabili, oggetto di restituzione e di illecita appropriazione da parte dei beneficiari, consentendo in tal modo frodi fiscali dal 1992 al 1998 per un importo non inferiore a 150 miliardi di lire. I clienti pagavano effettivamente le somme richieste con le fatture gonfiate, ma una parte di questi importi veniva loro restituita illecitamente, tramite la società V.________, con sede in Svizzera, riconducibile all'indagato B.________. Per mascherare la truffa, nell'ambito di accertamenti giudiziari il maresciallo della Guardia di Finanza D.________ sarebbe stato corrotto da B.________ e F.________, concordando versioni di comodo riguardo all'entità delle frodi commesse, ed escludendo dalle confessioni concordate alcuni grandi clienti, tra cui la società P.________. Il coinvolgimento di quest'ultima società, che si occupa delle lotterie italiane Totip e Superenalotto, lascerebbe presumere, secondo gli inquirenti esteri, manovre fraudolente con i fondi ricevuti dalla società P.________ per conto dello Stato italiano nella gestione delle lotterie; inoltre, secondo l'accordo corruttivo le confessioni si sarebbero riferite solo alle restituzioni in contanti, tacendo sull'utilizzazione di conti bancari esteri.</w:t>
      </w:r>
    </w:p>
    <w:p>
      <w:r>
        <w:t>L'autorità estera ha rilevato in particolare che allo scopo di evadere le imposte dirette e indirette i rappresentanti della società J.________, ossia gli indagati G.________ e H.________, contitolari del conto in discussione, avrebbero utilizzato, inserendole nella contabilità, fatture di operazioni parzialmente inesistenti, emesse dalle società Z.________ e Y.________, esponendo nel bilancio fatti non corrispondenti al vero; segnatamente, riguardo all'anno 1996, per un valore fatturato di 700'000'000 lire italiane vi sarebbe un valore di sovrafatturazione restituito di 560'000'000 lire italiane. Le restituzioni sarebbero avvenute mediante versamenti in contanti e bonifici bancari effettuati sul conto oggetto della decisione impugnata.</w:t>
      </w:r>
    </w:p>
    <w:p>
      <w:r>
        <w:t>Questi ultimi rilievi permettono di ritenere che non si è in presenza di semplici supposizioni e di concludere che l'Autorità estera ha fornito sufficienti motivi di sospetto, fondati su seri indizi, risultanti dalle dichiarazioni di indagati e dalle indagini esperite in Italia. La descrizione dei fatti, tenuto conto della natura dei prospettati reati, del numero di persone e ditte coinvolte, nonché dei meccanismi messi in atto a livello internazionale per mascherarli basta a suffragare obiettivamente le indicazioni fornite dallo Stato richiedente.</w:t>
      </w:r>
    </w:p>
    <w:p>
      <w:r>
        <w:rPr>
          <w:b/>
        </w:rPr>
        <w:t>E. 4</w:t>
      </w:r>
    </w:p>
    <w:p>
      <w:r>
        <w:t>a) Il ricorrente nega l'adempimento del requisito della doppia punibilità (al riguardo v. DTF 124 II 184 consid. 4b), visto che nei confronti dei contitolari del conto G.________ e H.________ la rogatoria non contempla alcun reato di corruzione attiva o passiva. La censura è inconferente poiché, come si è visto, la richiesta estera concerne anche altri indagati sospettati d'aver corrotto un pubblico ufficiale. Ai fini dell'assistenza giudiziaria non sono determinanti solo le imputazioni rivolte alla persona nei cui confronti è diretta la domanda, ma pure gli atti punibili all'estero e, quindi, in concreto, anche la fattispecie concernente gli altri indagati.</w:t>
      </w:r>
    </w:p>
    <w:p>
      <w:r>
        <w:t>b) Poiché, riguardo agli indagati G.________ e H.________, la domanda italiana rileva che i reati sarebbero stati compiuti "al fine di evadere le imposte dirette e indirette", il ricorrente ritiene che si sarebbe in presenza di una semplice decurtazione di tributi fiscali, per la quale l'assistenza è inammissibile. La censura è priva di fondamento: nei confronti delle citate persone l'Autorità italiana procede in effetti non solo per il reato di frode fiscale, ma anche per appropriazione indebita e false comunicazioni sociali (falso in bilancio) ai sensi dell'art. 2621 CCI. Ora, l'assistenza giudiziaria dev'essere concessa quando è richiesta per la repressione di più reati e uno di essi è punibile secondo il diritto svizzero ( DTF 124 II 184 consid. 4b/cc e rinvii, 117 Ib 64 consid. 5c pag. 90).</w:t>
      </w:r>
    </w:p>
    <w:p>
      <w:r>
        <w:t>aa) Secondo il ricorrente, la truffa ( art. 146 CP ) non potrebbe essere ravvisata nel reato di falso in bilancio ai sensi dell'art. 2621 CI italiano, poiché gli estremi di questa fattispecie non sarebbero realizzati. La mancata esposizione a bilancio dei ristorni, versati agli amministratori e agli azionisti, di fatture pagate non sarebbe infatti idonea a porre in pericolo la situazione della società e neppure a darne un'immagine errata presso terzi.</w:t>
      </w:r>
    </w:p>
    <w:p>
      <w:r>
        <w:t>Non inserendo ricavi nella contabilità, G.________ e H.________ non avrebbero dato un'immagine migliore della società, offrendone piuttosto una peggiore, per cui i terzi, che l' art. 2621 CC italiano intenderebbe proteggere, non subirebbero alcun danno. La critica è priva di fondamento poiché il reato dell' art. 2621 CC italiano ha natura plurioffensiva e la tutela sancita dalla legge non riguarda soltanto la società e i possibili creditori, ma si estende all'interesse generale per il regolare funzionamento delle società commerciali; si tratta di un reato di pericolo, per il quale è sufficiente la mera possibilità che i soci o i creditori della società siano tratti in inganno dalle false dichiarazioni sulla sua reale situazione patrimoniale (Giorgio Cian/Alberto Trabucchi, Commentario breve al Codice civile, Padova, 4a ed. 1996, II - V ad art. 2621).</w:t>
      </w:r>
    </w:p>
    <w:p>
      <w:r>
        <w:t>L' art. 2621 CC italiano prevede la punibilità, con reclusione e multa, di promotori, soci fondatori, direttori generali, sindaci e liquidatori che, nelle relazioni, nei bilanci o in altre comunicazioni sociali, fraudolentemente espongano fatti non corrispondenti al vero sulla costituzione o sulle condizioni economiche della società, o nascondano in tutto o in parte fatti concernenti le condizioni medesime. Il Tribunale federale ha già riconosciuto a tale norma un carattere penale, giustificante l'assistenza (sentenza inedita dell'8 maggio 1995 in re Titolare del conto, consid. 6, apparsa in Rep 1994, n. 21 pag. 285 segg.). Esso ha in particolare ritenuto che il fatto di sottacere fraudolentemente nei bilanci e nelle comunicazioni sociali la costituzione di fondi non contabilizzati potrebbe trarre in errore gli organi sociali, gli azionisti o eventuali terzi interessati all'effettiva situazione patrimoniale della società, per cui, nel diritto svizzero, sarebbero ipotizzabili reati di falsità in documenti ( art. 251 CP ) e di false indicazioni su attività commerciali ( art. 152 CP ).</w:t>
      </w:r>
    </w:p>
    <w:p>
      <w:r>
        <w:t>bb) Secondo la giurisprudenza del Tribunale federale, i libri e i documenti giustificativi della contabilità commerciale devono essere esatti non soltanto dal profilo formale, ma anche da quello sostanziale; la contabilità commerciale e le sue componenti, segnatamente i bilanci, devono essere allestiti in maniera tale da mostrare agli interessati, in modo veritiero, la situazione economica dell'azienda (art. 957 segg. e 959 CO; DTF 126 IV 65 consid. 2a pag. 68, 125 IV 17 consid. 2a-c pag. 23 segg. e riferimenti, 122 IV 25 consid. 2b, 120 IV 122 consid. 4c pag. 127, 108 IV 25). Nel diritto italiano vige un'analoga concezione (Giorgio Cian/Alberto Trabucchi, op. cit. , II n. 1 ad art. 2621, i quali precisano che questo reato concorre con quello di truffa, loc. cit. , IX n. 5). Chi redige in modo inesatto il bilancio e i conti economici di una società anonima deve prendere, di massima, in considerazione il loro impiego in ambito non fiscale. Parallelamente alle norme di diritto penale fiscale sarebbero pertanto applicabili anche quelle concernenti la falsità in documenti, eccetto il caso in cui, accanto a un bilancio dal contenuto corretto, sia stato allestito, unicamente per motivi fiscali, un bilancio inesatto, definito come bilancio fiscale ( art. 251 n.1 CP ; DTF 122 IV 25 consid. 3 e rinvii, 108 IV 27; cfr. anche DTF 126 IV 65 ).</w:t>
      </w:r>
    </w:p>
    <w:p>
      <w:r>
        <w:t>cc) Il Tribunale federale ha già stabilito che la costituzione di fondi non contabilizzati, gestiti per il tramite di società off shore, sarebbe punibile in diritto svizzero secondo gli art. 152 e 251 CP , e che l'omissione a bilancio di fondi depositati presso istituti bancari - appartenenti alla società stessa o a una società consociata - configura gli elementi oggettivi del reato di falsità in documenti (sentenze inedite del 16 giugno 1995 in re Beneficiario di tre bonifici, consid. 6, e del 1° dicembre 1995 in re Titolari dei conti, consid. 7c, apparso in Rep 1993, pag. 114; DTF 122 IV 25 consid. 2 e 3, 120 IV 122 consid. 5c). Anche l'omessa indicazione di attivi di una certa importanza nel bilancio sottoposto per approvazione all'assemblea generale configura una falsa dichiarazione ai sensi dell' art. 152 CP (sentenza inedita del l'8 maggio 1995, citata).</w:t>
      </w:r>
    </w:p>
    <w:p>
      <w:r>
        <w:t>È stato altresì ritenuto che l'uso di falsi contratti di mediazione, stipulati attraverso società "schermo" in connessione a contratti della società capogruppo, qualora influiscano sui bilanci consolidati della società inquisita, può essere costitutivo per lo meno di amministrazione infedele ( art. 158 CP ), di falsità in documenti ( art. 251 CP ) e d'inosservanza delle norme legali sulla contabilità ( art. 325 CP ; sentenza inedita del 3 marzo 1995 in re Titolari dei conti, consid. 5, apparso in Rep 1994, pag. 129; Zimmermann, op. cit. , pag. 292 nota al piede n. 324; un rapporto di mediazione e provvigioni fittizie realizzate ricorrendo a manovre fraudolente può costituire un'ipotesi di truffa in materia fiscale, sentenza inedita dell'11 gennaio 1995 in re Titolare del conto, consid. 3d, apparsa in Rep 1994, pag. 281).</w:t>
      </w:r>
    </w:p>
    <w:p>
      <w:r>
        <w:t>Ne segue che gli atti perseguiti all'estero sarebbero punibili anche in Svizzera.</w:t>
      </w:r>
    </w:p>
    <w:p>
      <w:r>
        <w:t>c) Per quanto riguarda i reati di truffa in materia fiscale l' art. 24 cpv. 1 OAIMP precisa che deve trattarsi di reati configurabili come truffa in materia di tasse ai sensi dell'art. 14 cpv. 2 della legge federale sul diritto penale amministrativo, del 22 marzo 1974 (DPA; RS 313. 0). Occorre pertanto riferirsi alla definizione della truffa di cui all' art. 146 CP e alla relativa giurisprudenza del Tribunale federale, rispettivamente, per la definizione dell' art. 15 DPA , a quella di falsità in documenti giusta l' art. 251 CP .</w:t>
      </w:r>
    </w:p>
    <w:p>
      <w:r>
        <w:t>Una truffa in materia fiscale può essere commessa non solo mediante l'uso, come nella fattispecie, di documenti inesatti o falsificati, essendo immaginabili anche altri casi di inganno astuto, in cui si faccia ricorso a manovre fraudolente ( DTF 125 II 250 consid. 3b e rinvii, 122 IV 197 consid. 3d), come ad esempio l'uso di prestanomi, d'intermediari o di società "schermo" o l'uso di contratti fittizi (Zimmermann, op. cit. , n. 412 nota al piede n. 533 pag. 319, n. 416).</w:t>
      </w:r>
    </w:p>
    <w:p>
      <w:r>
        <w:t>d) aa) Il Tribunale federale ha recentemente stabilito che si è sempre in presenza di una truffa in materia fiscale allorché il contribuente presenta all'autorità fiscale documenti inesatti o incompleti ai sensi dell' art. 110 n. 5 cpv. 1 CP ( DTF 125 II 250 consid. 3; sulla nozione di documenti secondo il diritto penale svizzero cfr. DTF 126 IV 65 consid. 2a, 125 II 250 consid. 4a, 125 IV 273 consid. 3a/aa-bb). L'Autorità italiana ha rilevato che i prospettati reati consistono in annotazioni nella contabilità o nell'emissione di documenti falsi perché rappresentativi di grandezze economiche non veritiere, allo scopo di aumentare fittiziamente i costi della società e di ottenere la differenza tra il valore alterato e quello reale in forma extracontabile. L'idoneità delle menzionate fatture e dei bilanci come mezzi di prova è evidente. Del resto, anche se questa circostanza non è decisiva per il Giudice dell'assistenza, l'Autorità estera ha precisato che, secondo il diritto italiano, i fatti posti a fondamento della domanda sono costitutivi di frode fiscale e, secondo il diritto svizzero, di truffa in materia fiscale ( DTF 125 II 250 consid. 3b; cfr. Zimmermann, op. cit. , n. 410).</w:t>
      </w:r>
    </w:p>
    <w:p>
      <w:r>
        <w:t>bb) Certo, i clienti pagavano effettivamente le somme richieste con le fatture, ma parte di queste venivano loro illecitamente riversate su conti esteri, sicché gli importi restituiti in forma extracontabile non venivano indicati nei bilanci, divenendo oggetto d'appropriazione individuale degli amministratori delle società acquirenti; in tal modo venivano aumentati fittiziamente i costi delle società:</w:t>
      </w:r>
    </w:p>
    <w:p>
      <w:r>
        <w:t>è pertanto ipotizzabile il reato di truffa in materia fiscale, visto il sospettato uso di fatture e di bilanci inesatti o incompleti ( DTF 125 II 250 consid. 3; Zimmermann, op. cit. , n. 416; Paolo Bernasconi, Rogatorie penali italo-svizzere, Milano, 1997, pag. 366 seg. ; idem, La trasmissione di mezzi di prova dalla Svizzera all'estero per il perseguimento di reati - tendenze recenti, in: Assistenza giudiziaria internazionale in materia civile, penale, amministrativa ed esecutiva, edito dalla Commissione ticinese per la formazione permanente dei giuristi, Lugano 1999, pag. 65).</w:t>
      </w:r>
    </w:p>
    <w:p>
      <w:r>
        <w:rPr>
          <w:b/>
        </w:rPr>
        <w:t>E. 5</w:t>
      </w:r>
    </w:p>
    <w:p>
      <w:r>
        <w:t>a) Il ricorrente fa valere la sua estraneità ai prospettati reati, poiché non è indagato in Italia.</w:t>
      </w:r>
    </w:p>
    <w:p>
      <w:r>
        <w:t>Con questa argomentazione egli disconosce che la concessione dell'assistenza non presuppone che l'interessato, nei cui confronti la domanda è rivolta, coincida con l'inquisito o l'accusato nella procedura aperta nello Stato richiedente. In effetti, l'assistenza dev'essere prestata anche per acclarare se il reato fondatamente sospettato sia effettivamente stato commesso, e non soltanto per scoprirne l'autore o raccogliere prove a suo carico ( DTF 118 Ib 547 consid. 3a pag. 552). È sufficiente che sussista una relazione diretta e oggettiva tra la persona o la società e il reato per il quale si indaga, eventualità che si verifica manifestamente per il ricorrente, contitolare di una relazione bancaria intestata anche a due inquisiti ( DTF 120 Ib 251 consid. 5a e b, 118 Ib 547 consid. 3a in fine; Zimmermann, op. cit. , n. 227).</w:t>
      </w:r>
    </w:p>
    <w:p>
      <w:r>
        <w:t>b) Il ricorrente si limita a sostenere l'assoluta irrilevanza della documentazione bancaria per il procedimento estero adducendo semplicemente che il MPC, nella decisione impugnata, non ne avrebbe sufficientemente comprovato la rilevanza potenziale e la pertinenza. La critica è inammissibile, visto che il ricorrente ha lasciato scadere infruttuosamente il termine fissatogli dal MPC per presentare le sue osservazioni in merito. Ora, spetta alle persone o società interessate dimostrare, in modo chiaro e preciso, perché i documenti e le informazioni da trasmettere non presenterebbero alcun interesse per il procedimento estero: esse sono quindi tenute, pena la decadenza del loro diritto, a indicare all'Autorità di esecuzione quali documenti, e per quali motivi, non dovrebbero, secondo loro, essere trasmessi. Dal profilo della buona fede non sarebbe infatti ammissibile che il detentore di documenti sequestrati lasci che l'autorità di esecuzione proceda da sola alla cernita degli atti, senza parteciparvi, per rimproverarle in seguito, nell'ambito di un ricorso, d'aver violato il principio della proporzionalità ( DTF 126 II 258 consid. 9b e c). L'utilità della documentazione è comunque palese, visto che i due contitolari, indagati all'estero, sono sospettati d'aver effettuato le restituzioni litigiose mediante versamenti in contanti e bonifici bancari sul conto in discussione, versamenti operati, secondo il ricorrente, dalla società V.________ di B.________ &amp; Co. e dalla società V.________ con sede a Tortola (British Virgin Islands), società oggetto d'inchiesta nel procedimento penale.</w:t>
      </w:r>
    </w:p>
    <w:p>
      <w:r>
        <w:t>Per di più, il ricorrente non indica del tutto quali singoli documenti sarebbero sicuramente irrilevanti per il procedimento penale estero, e nemmeno spiega in maniera precisa, sempre per ogni singolo documento, perché un determinato atto non dovrebbe essere trasmesso; tale compito non spetta al Tribunale federale ( DTF 126 II 258 consid. 9c in fine, 122 II 367 consid. 2d pag. 371 seg.).</w:t>
      </w:r>
    </w:p>
    <w:p>
      <w:r>
        <w:rPr>
          <w:b/>
        </w:rPr>
        <w:t>E. 6</w:t>
      </w:r>
    </w:p>
    <w:p>
      <w:r>
        <w:t>A titolo subordinato il ricorrente fa valere che l'Italia non rispetterebbe il principio della specialità.</w:t>
      </w:r>
    </w:p>
    <w:p>
      <w:r>
        <w:t>Sugli argomenti cui egli accenna al riguardo a sostegno di tale tesi il Tribunale federale si è già pronunciato in DTF 124 II 184 cui, per brevità, si rinvia.</w:t>
      </w:r>
    </w:p>
    <w:p>
      <w:r>
        <w:rPr>
          <w:b/>
        </w:rPr>
        <w:t>E. 7</w:t>
      </w:r>
    </w:p>
    <w:p>
      <w:r>
        <w:t>Ne segue che il ricorso, in quanto ammissibile, dev'essere respinto. Le spese processuali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