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1A.154/2000 vom 3. Juli 2000</w:t>
      </w:r>
    </w:p>
    <w:p>
      <w:r>
        <w:t>Bundesgericht, 2000-07-03, FR</w:t>
      </w:r>
    </w:p>
    <w:p>
      <w:r>
        <w:rPr>
          <w:b/>
        </w:rPr>
        <w:t xml:space="preserve">Quelle: </w:t>
      </w:r>
      <w:r>
        <w:t>https://mcp.opencaselaw.ch/entscheid/bger_1A.154_2000</w:t>
      </w:r>
    </w:p>
    <w:p>
      <w:r>
        <w:t>FR: TF 1A.154/2000 du 3 juillet 2000</w:t>
      </w:r>
    </w:p>
    <w:p>
      <w:r>
        <w:t>IT: TF 1A.154/2000 del 3 luglio 2000</w:t>
      </w:r>
    </w:p>
    <w:p>
      <w:pPr>
        <w:pStyle w:val="Heading2"/>
      </w:pPr>
      <w:r>
        <w:t>Erwägungen</w:t>
      </w:r>
    </w:p>
    <w:p>
      <w:r>
        <w:rPr>
          <w:b/>
        </w:rPr>
        <w:t>E. 1</w:t>
      </w:r>
    </w:p>
    <w:p>
      <w:r>
        <w:t>a) La Confédération suisse et la République italienne sont toutes deux parties à la CEEJ. Les dispositions de ce traité l'emportent sur le droit autonome qui régit la matière, soit la loi fédérale sur l'entraide internationale en matière pénale, du 20 mars 1981 (EIMP)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et les arrêts cités), sous réserve du respect des droits fondamentaux ( ATF 123 II 595 consid. 7c p. 617).</w:t>
      </w:r>
    </w:p>
    <w:p>
      <w:r>
        <w:t>b) La voie du recours de droit administratif est ouverte contre la décision cantonale de dernière instance relative à la clôture de la procédure d'exécution de la demande d'entraide ( art. 80f al. 1 EIMP , mis en relation avec l'art. 80d de la même loi).</w:t>
      </w:r>
    </w:p>
    <w:p>
      <w:r>
        <w:t>c) aa) Selon l' art. 80h let. b EIMP ,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 ATF 125 II 356 consid. 3b/aa p. 361/362; 124 II 409 consid. 1e/bbp. 417/418, 499 consid. 3b p. 504; 123 II 115 consid. 2ap. 117, 376 consid. 4a p. 376). Le recours formé dans le seul intérêt de la loi ou d'un tiers est en revanche irrecevable ( ATF 125 II 356 consid. 3b/aa p. 361/362; 124 II 499 consid. 3b p. 504; 123 II 542 consid. 2e p. 545; 121 II 39 consid. 2c/aa p. 43/44; 120 Ib 48 consid. 2a p. 51, 379 consid. 4b p. 386; 119 Ib 374 consid. 2a/aa p. 376).</w:t>
      </w:r>
    </w:p>
    <w:p>
      <w:r>
        <w:t>bb) Selon les statuts de la recourante, le Comité directeur est compétent pour établir le règlement du contrôle antidopage et tout autre règlement afférent à l'ensemble du cyclisme ( art. 46 al. 1 let . l des statuts). Sur cette base a été adopté le Règlement UCI du sport cycliste (ci-après:</w:t>
      </w:r>
    </w:p>
    <w:p>
      <w:r>
        <w:t>le Règlement), dont le Chapitre XIII, intitulé "Sécurité et conditions du sport", régit les contrôles sanguins auxquels doivent se soumettre les coureurs professionnels, en vue de déterminer le taux d'hématocrite. Le Règlement prévoit que des coureurs sont désignés pour se soumettre à un contrôle sanguin (art. 13.1.008 du Règlement). A cette fin, il est prélevé un échantillon de sang de 4 ml (art. 13.1.014 du Règlement), qui reçoit un code anonyme à ce moment-là (art. 13.1.015 du Règlement). Le prélèvement fait l'objet d'une attestation indiquant notamment l'identité du coureur et le résultat du contrôle (art. 13.1.011 et 13.1.029 du Règlement).</w:t>
      </w:r>
    </w:p>
    <w:p>
      <w:r>
        <w:t>L'ensemble des résultats est communiqué aux organes de l'Union (art. 13.1.019 du Règlement), laquelle devient propriétaire des échantillons (art. 13.1.022 du Règlement).</w:t>
      </w:r>
    </w:p>
    <w:p>
      <w:r>
        <w:t>A ce titre, la recourante a qualité pour s'opposer à la remise des procès-verbaux relatifs aux échantillons prélevés le 4 juin 1999 dont elle est devenue propriétaire, sans qu'il soit nécessaire, à ce stade, d'approfondir le point de savoir si les coureurs eux-mêmes, qui ne sont pas parties à la présente procédure, auraient eu qualité pour agir contre la transmission d'informations qui dévoilent leur identité et le résultat du contrôle effectué le 4 juin 1999, pour ce qui les concerne.</w:t>
      </w:r>
    </w:p>
    <w:p>
      <w:r>
        <w:t>d) L'autorité suisse saisie d'une requête d'entraide en matière pénale n'a pas à se prononcer sur la réalité des faits invoqués et ne peut que déterminer s'ils constituent une infraction, tels qu'ils sont présentés dans la demande.</w:t>
      </w:r>
    </w:p>
    <w:p>
      <w:r>
        <w:t>Cette autorité ne peut s'écarter des faits décrits par l'Etat requérant qu'en cas d'erreurs, lacunes ou contradictions évidentes et immédiatement établies ( ATF 118 Ib 111 consid. 5b p. 121/122; 117 Ib 64 consid. 5c p. 88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ATF 123 II 134 consid. 1e p. 137; 113 Ib 257 consid. 3d p. 266; 112 Ib 576 consid. 3 p. 585).</w:t>
      </w:r>
    </w:p>
    <w:p>
      <w:r>
        <w:rPr>
          <w:b/>
        </w:rPr>
        <w:t>E. 2</w:t>
      </w:r>
    </w:p>
    <w:p>
      <w:r>
        <w:t>La recourante se plaint uniquement de ce que la mesure serait disproportionnée.</w:t>
      </w:r>
    </w:p>
    <w:p>
      <w:r>
        <w:t>a) 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des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5cp. 255). Le principe de la proportionnalité empêche aussi l'autorité d'aller au-delà des requêtes qui lui sont adressées et d'accorder à l'Etat requérant plus qu'il n'a demandé ( ATF 121 II 241 consid. 3a p. 243, 118 Ib 111 consid. 6p. 125, 117 Ib 64 consid. 5c p. 68 et les arrêts cités). Au besoin, il lui appartient d'interpréter la requête selon le sens que l'on peut raisonnablement lui donner; rien ne s'oppose à une interprétation large de la requête s'il est établi que, sur cette base, toutes les conditions à l'octroi de l'entraide sont remplies; ce mode de procéder évite aussi une éventuelle demande complémentaire ( ATF 121 II 241 consid. 3a p. 243). Il incombe à la personne visée de démontrer, de manière claire et précise, en quoi les documents et informations à transmettre excéderaient le cadre de la demande ou ne présenteraient aucun intérêt pour la procédure étrangère ( ATF 122 II 367 consid. 2c p. 371/372).</w:t>
      </w:r>
    </w:p>
    <w:p>
      <w:r>
        <w:t>b) Dans un premier moyen, la recourante soutient que la remise des documents demandés ne présenterait aucun intérêt pour la procédure pénale ouverte en Italie, car les contrôles sanguins ne constitueraient pas une preuve irréfutable de la prise exogène d'EPO.</w:t>
      </w:r>
    </w:p>
    <w:p>
      <w:r>
        <w:t>Contrairement à ce que semble penser la recourante, la procédure ouverte dans l'Etat requérant ne vise pas des coureurs qui auraient violé les règles de l'éthique sportive en recourant au dopage, mais de vérifier si, en violation du droit italien, les suspects auraient participé à un trafic de médicaments (dont l'EPO) et de produits classés comme stupéfiants. Pour vérifier l'hypothèse que de tels délits auraient été commis en relation avec les faits mis à jour lors du Tour d'Italie 1999, il est légitime que les autorités de l'Etat requérant cherchent à identifier les coureurs contrôlés le 4 juin 1999 et à connaître les résultats du contrôle auquel ils ont été soumis. Il incombe au juge du fond, et non au juge de l'entraide, de trancher la question de savoir si ces informations ont ou non une valeur probante quant aux faits à élucider. Il est possible que le taux d'hématocrite ne constitue qu'un indice (et non une preuve) de la prise exogène d'EPO. C'est pour cette raison que l'Union a décidé de traiter la question non pas sous l'angle de la lutte contre le dopage, mais dans le cadre d'un programme destiné à protéger la santé des athlètes. En vertu des prescriptions qu'elle a adoptées, l'Union a décidé de déclarer inapte à la compétition, pour un temps déterminé, un coureur dont le taux d'hématocrite dépasse 50% pour les hommes et 47% pour les femmes (art. 13.1.002 du Règlement; cf. aussi le document intitulé "Questions et réponses sur la politique antidopage et sur le programme de santé de l'UCI"). Cette différence d'approche ne signifie pas pour autant que la remise des procès-verbaux, relatifs aux échantillons prélevés le 4 juin 1999, serait inutile à une procédure pénale qui poursuit d'autres buts que le respect de l'éthique sportive ou la protection de la santé des athlètes.</w:t>
      </w:r>
    </w:p>
    <w:p>
      <w:r>
        <w:t>S'ajoute à cela le fait que le rapport établi le 28 juillet 1999 par le Dr. M.________ révèle que treize des quinze échantillons contrôlés présenteraient des traces d'EPO exogène. La recourante critique les méthodes et les résultats de l'analyse effectuée par l'expert, dont les conclusions ne seraient, selon elle, pas défendables d'un point de vue scientifique. Il s'agit-là cependant d'une question relative à l'appréciation des preuves qui relève du juge du fond et non du juge de l'entraide. En l'état, il est nécessaire que les résultats des contrôles effectués le 4 juin 1999 soient remis aux autorités italiennes, afin que celles-ci puissent vérifier l'existence de l'utilisation d'EPO et d'un trafic de cette substance, en relation avec les faits décrits dans la demande. On ne saurait, pour le surplus, qualifier la demande de recherche indéterminée de preuves ("fishing expedition"), comme le prétend la recourante.</w:t>
      </w:r>
    </w:p>
    <w:p>
      <w:r>
        <w:t>c) Dans un second moyen, celle-ci soutient que le dévoilement des informations contenues dans les documents saisis menacerait de ruiner les efforts qu'elle a consentis pour lutter contre le dopage et compromettrait le programme qu'elle a mis sur pied en vue de protéger la santé des coureurs.</w:t>
      </w:r>
    </w:p>
    <w:p>
      <w:r>
        <w:t>Outre le fait que cet argument repose sur des conjectures et qu'on peut y rétorquer que la répression du trafic de produits dopants est aussi un moyen de lutter contre le dopage, la protection des intérêts de l'Union comme association privée (cf. art. 1er al. 2 des statuts) ne peut de toute manière pas faire obstacle à l'application du droit étatique (cf. aussi, pour ce qui concerne les fédérations membres de l'Union, l'art. 6 al. 4 des statuts).</w:t>
      </w:r>
    </w:p>
    <w:p>
      <w:r>
        <w:t>d) Dans un troisième moyen, la recourante invoque le secret médical et la confidentialité promise aux athlètes.</w:t>
      </w:r>
    </w:p>
    <w:p>
      <w:r>
        <w:t>Il paraît difficile de concevoir que la recourante, personne morale (cf. art. 1er al. 2 des statuts), puisse prétendre être assimilée à un médecin et, par voie de conséquence, invoquer à ce titre le secret médical uniquement parce qu'elle détient, avec le consentement des coureurs, des informations relatives à leur taux d'hématocrite à une époque donnée. Même à supposer que la recourante puisse se prévaloir du secret médical selon l' art. 321 al. 1 PCF , applicable par renvoi des art. 42 al. 1 let. b PCF , mis en relation avec les art. 16 PA et 12 EIMP, l'intérêt lié à l'exécution de la demande d'entraide conformément aux dispositions de la CEEJ l'emporterait de toute manière sur le maintien du secret (cf. art. 42 al. 2 PCF ). En effet, la remise des informations demandées étant nécessaire à l'enquête ouverte dans l'Etat requérant, la bonne exécution de la demande prime d'emblée l'intérêt de la recourante à ménager ses relations avec les coureurs et l'intérêt de ceux-ci à préserver leur anonymat. Pour le surplus, les coureurs n'ont aucun dommage direct à craindre du dévoilement de leur identité puisque la procédure ouverte en Italie n'a pas pour but de réprimer l'utilisation exogène d'EPO, à supposer que celle-ci fût confirmée pour les coureurs concernés.</w:t>
      </w:r>
    </w:p>
    <w:p>
      <w:r>
        <w:t>Le grief est ainsi mal fondé.</w:t>
      </w:r>
    </w:p>
    <w:p>
      <w:r>
        <w:rPr>
          <w:b/>
        </w:rPr>
        <w:t>E. 3</w:t>
      </w:r>
    </w:p>
    <w:p>
      <w:r>
        <w:t>Le recours doit être rejeté. Les frais en sont mis à la charge de la recourante qui succombe ( art. 156 al. 1 OJ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