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1A.151/2004 vom 2. August 2004</w:t>
      </w:r>
    </w:p>
    <w:p>
      <w:r>
        <w:t>Bundesgericht, 2004-08-02, FR</w:t>
      </w:r>
    </w:p>
    <w:p>
      <w:r>
        <w:rPr>
          <w:b/>
        </w:rPr>
        <w:t xml:space="preserve">Quelle: </w:t>
      </w:r>
      <w:r>
        <w:t>https://mcp.opencaselaw.ch/entscheid/bger_1A.151_2004</w:t>
      </w:r>
    </w:p>
    <w:p>
      <w:r>
        <w:t>FR: TF 1A.151/2004 du 2 août 2004</w:t>
      </w:r>
    </w:p>
    <w:p>
      <w:r>
        <w:t>IT: TF 1A.151/2004 del 2 agosto 2004</w:t>
      </w:r>
    </w:p>
    <w:p>
      <w:pPr>
        <w:pStyle w:val="Heading2"/>
      </w:pPr>
      <w:r>
        <w:t>Regeste</w:t>
      </w:r>
    </w:p>
    <w:p>
      <w:r>
        <w:t>Entraide et extradition</w:t>
      </w:r>
    </w:p>
    <w:p>
      <w:pPr>
        <w:pStyle w:val="Heading2"/>
      </w:pPr>
      <w:r>
        <w:t>Erwägungen</w:t>
      </w:r>
    </w:p>
    <w:p>
      <w:r>
        <w:rPr>
          <w:b/>
        </w:rPr>
        <w:t>E. 1</w:t>
      </w:r>
    </w:p>
    <w:p>
      <w:r>
        <w:t>Interjeté dans le délai et les formes utiles contre plusieurs décisions de clôture confirmées en dernière instance cantonale, le recours de droit administratif est recevable (art. 80e let. a et 80f al. 1 de la loi fédérale sur l'entraide internationale en matière pénale - EIMP, RS 351.1).</w:t>
      </w:r>
    </w:p>
    <w:p>
      <w:r>
        <w:rPr>
          <w:b/>
        </w:rPr>
        <w:t>E. 2</w:t>
      </w:r>
    </w:p>
    <w:p>
      <w:r>
        <w:t>La Chambre d'accusation a reconnu la qualité pour agir de la société B.________, s'agissant de la transmission des objets saisis dans ses bureaux et de la convention remise par la banque F.________; A.________ s'est vu reconnaître cette qualité en tant que titulaire d'un compte et signataire d'une convention. Sur ce point, l'ordonnance attaquée n'est pas contestée; elle correspond aux principes figurant à l' art. 9a let. a et b OEIMP , s'agissant du titulaire d'un compte bancaire et de l'occupant des locaux soumis à une perquisition. C.________ s'est en revanche vu dénier la qualité pour recourir, car il n'était qu'ayant droit économique d'une société et mandataire de plusieurs comptes ouverts auprès de la banque G.________. Le recourant soutient (comme il est habilité à le faire par la voie du recours de droit administratif; ATF 122 II 130 consid. 1 p. 132) qu'il aurait qualité pour agir en tant que mandataire, exposé comme tel à des prétentions en dédommagement de la part de ses mandants. Le recourant n'expose toutefois pas qu'il serait personnellement et directement touché par les mesures d'entraide, comme l'exige l' art. 80h let. b EIMP . Son intervention fondée sur l'existence d'un contrat de mandat, n'en est pas moins celle d'un ayant droit économique, et tend à la protection des intérêts de ses clients; elle est irrecevable à ce titre, et l'ordonnance attaquée est également conforme, sur ce point, au droit fédéral.</w:t>
      </w:r>
    </w:p>
    <w:p>
      <w:r>
        <w:rPr>
          <w:b/>
        </w:rPr>
        <w:t>E. 3</w:t>
      </w:r>
    </w:p>
    <w:p>
      <w:r>
        <w:t>La Belgique et la Suisse sont toutes deux parties à la Convention européenne d'entraide judiciaire (CEEJ, RS 0.351.1). Peut également s'appliquer en l'occurrence la Convention européenne relative au blanchiment, au dépistage, à la saisie et à la confiscation des produits du crime (Cbl; RS 0.311.53), entrée en vigueur le 1er septembre 1993 pour la Suisse et le 1er mai 1998 pour l'Etat requérant. Les dispositions de ces traités l'emportent sur le droit interne régissant la matière, soit l'EIMP et son ordonnance d'exécution, qui sont applicables aux questions non réglées, explicitement ou implicitement, par le droit conventionnel, et lorsque le droit interne est plus favorable à l'entraide que le traité ( ATF 123 II 134 consid. 1a p. 136; 122 II 140 consid. 2 p. 142; 120 Ib 120 consid. 1a p. 122/123, 189 consid. 2a p. 191/192; 118 Ib 269 consid. 1a p. 271, et les arrêts cités).</w:t>
      </w:r>
    </w:p>
    <w:p>
      <w:r>
        <w:rPr>
          <w:b/>
        </w:rPr>
        <w:t>E. 4</w:t>
      </w:r>
    </w:p>
    <w:p>
      <w:r>
        <w:t>Les recourants soutiennent que le contenu de la demande d'entraide serait insuffisant. L'autorité requérante semblerait vouloir vérifier la réalité des conventions passées avec la banque F.________, alors que ces pièces sont en sa possession depuis quatre ans déjà. La procédure pénale serait achevée en Belgique, sans inculpation. Dans un arrêt du 29 novembre 1999, la Cour d'appel de Bruxelles a levé une saisie de compte bancaire de la société E.________, en relevant notamment que A.________ avait bien la capacité financière d'investir environ 10 millions de FF. L'autorité requérante aurait déjà en mains tous les éléments pour établir, après plusieurs années d'enquête, que les fonds investis ne proviennent pas d'activités délictueuses. Les dispositions légales pertinentes ne seraient pas non plus mentionnées dans la demande.</w:t>
      </w:r>
    </w:p>
    <w:p>
      <w:r>
        <w:rPr>
          <w:b/>
        </w:rPr>
        <w:t>E. 4.1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rPr>
          <w:b/>
        </w:rPr>
        <w:t>E. 4.2</w:t>
      </w:r>
    </w:p>
    <w:p>
      <w:r>
        <w:t>Les recourants ne contestent pas sérieusement que le contenu même de la demande d'entraide est suffisant pour permettre d'en déterminer l'objet. L'autorité requérante fait état d'investissements importants opérés par les personnes mises en causes, et désire connaître la source exacte des fonds investis. Elle soupçonne un délit de blanchiment, en relevant en particulier que C.________ pourrait être mêlé à des activités de blanchiment de fonds provenant de la criminalité organisée en Russie et de trafic de stupéfiants. Ces indications sont suffisantes: selon la jurisprudence en effet, l'autorité qui demande l'entraide pour les besoins d'une enquête pour blanchiment d'argent peut se borner à mentionner l'existence de transactions suspectes, sans avoir à préciser en quoi pourrait consister l'infraction préalable. Cela correspond en particulier à la notion d'entraide "la plus large possible" prévue non seulement par la CEEJ, mais aussi par la CBl. ( ATF 129 II 97 ). En l'occurrence, l'autorité requérante indique précisément en quoi consiste la transaction suspecte, ainsi que sa date et les personnes impliquées, ce qui satisfait aux exigences légales et conventionnelles. Contrairement à ce que soutiennent les recourants, l'autorité requérante n'a pas à prouver les faits qu'elle allègue, ni même à les rendre vraisemblables; elle n'a pas non plus à communiquer l'ensemble des éléments de preuve dont elle dispose déjà, à charge ou à décharge. Les recourants se limitent en définitive à contester leur culpabilité, et leur argumentation doit par conséquent être écartée. L'argument relatif à l'indication des dispositions pénales de l'Etat requérant n'est pas mieux fondé: l'autorité requérante mentionne expressément l'infraction de blanchiment, et produit les dispositions correspondantes du code pénal belge, soit notamment son art. 505. La Belgique est par ailleurs partie à la CBl., et s'est engagée à ce titre à adopter les mesures législatives nécessaires à la répression pénale des infractions de blanchiment ( art. 6 CBl .), de sorte que la punissabilité selon le droit de l'Etat requérant ne fait guère de doute.</w:t>
      </w:r>
    </w:p>
    <w:p>
      <w:r>
        <w:rPr>
          <w:b/>
        </w:rPr>
        <w:t>E. 5</w:t>
      </w:r>
    </w:p>
    <w:p>
      <w:r>
        <w:t>Les recourants contestent en vain la punissabilité des faits selon le droit suisse. En effet, pour juger de cette question, l'autorité requise se fonde exclusivement sur l'exposé des faits qui lui est fourni. Les arguments à décharge concernant la réalité des conventions passées avec la banque F.________ et, en définitive, la provenance licite des fonds investis, n'ont pas à être pris en considération. A supposer que les fonds investis aient une origine criminelle, les faits seraient constitutifs, en droit suisse, d'infraction à l' art. 305bis CP .</w:t>
      </w:r>
    </w:p>
    <w:p>
      <w:r>
        <w:rPr>
          <w:b/>
        </w:rPr>
        <w:t>E. 6</w:t>
      </w:r>
    </w:p>
    <w:p>
      <w:r>
        <w:t>Les recourants invoquent le principe de la proportionnalité. Selon eux, la procédure de tri des pièces n'aurait pas été respectée. La Chambre d'accusation retient que A.________ avait examiné les documents mis sous scellés lors de la perquisition du 17 septembre 2000, et qu'il avait bénéficié d'occasions suffisantes de s'exprimer sur les documents à transmettre. Les recourants le contestent. Ils affirment que les circonstances de la perquisition et le nombre de pièces saisies ne leur auraient pas permis de se déterminer. En outre, ils s'étaient adressés en vain au juge d'instruction pour réclamer un tri. L'avocat des recourants n'aurait pris connaissance des pièces qu'au moment de l'élaboration du recours cantonal et n'était pas à même d'effectuer un tri de détail.</w:t>
      </w:r>
    </w:p>
    <w:p>
      <w:r>
        <w:rPr>
          <w:b/>
        </w:rPr>
        <w:t>E. 6.1</w:t>
      </w:r>
    </w:p>
    <w:p>
      <w:r>
        <w:t>Lorsque l'autorité d'exécution est amenée à saisir une certaine quantité de documents, elle a le devoir de procéder à leur tri avant d'ordonner leur remise éventuelle. Elle ne saurait se défausser sur l'Etat requérant et lui remettre les pièces en vrac ( ATF 122 II 367 consid. 2c p. 371; 115 Ib 186 consid. 4 p. 192/193). Pour le tri à effectuer, l'autorité d'exécution s'appuie sur le détenteur des documents: la personne touchée par la perquisition et la saisie de documents lui appartenant est tenue, à peine de forclusion, d'indiquer à l'autorité d'exécution quels documents ne devraient pas, selon elle, être transmis et pour quels motifs ( ATF 126 II 258 consid. 9b/aa p. 260; 122 II 367 consid. 2c p. 371/372). Sous l'angle de la bonne foi, il n'est pas admissible que le détenteur de documents saisis laisse l'autorité d'exécution procéder seule au tri des pièces, sans lui prêter aucun concours, pour lui reprocher après coup la méconnaissance du principe de la proportionnalité. L'autorité d'exécution doit auparavant donner au détenteur l'occasion, concrète et effective, de se déterminer, afin qu'il puisse exercer son droit d'être entendu et satisfaire à son obligation de coopérer à l'exécution de la demande ( ATF 126 II 258 consid. 9b/aa p. 262).</w:t>
      </w:r>
    </w:p>
    <w:p>
      <w:r>
        <w:rPr>
          <w:b/>
        </w:rPr>
        <w:t>E. 6.2</w:t>
      </w:r>
    </w:p>
    <w:p>
      <w:r>
        <w:t>L'autorité d'exécution ne saurait se contenter de transmettre la documentation saisie dans son intégralité dès l'instant où elle paraît en rapport avec les faits poursuivis dans l'Etat requérant et que le détenteur n'a pas exposé de manière précise et détaillée les raisons qui s'opposent à la transmission de telle ou telle pièce. Une telle pratique équivaut pratiquement à une remise en vrac de la documentation, incompatible avec le principe de la proportionnalité. Dans un arrêt récent, le Tribunal fédéral a eu l'occasion de rappeler la procédure à suivre pour l'autorité d'exécution. Après avoir saisi les documents qu'elle juge utiles pour l'exécution de la demande, celle-ci trie les pièces à remettre en vue du prononcé d'une décision de clôture. A défaut d'un accord portant sur la remise facilitée ( art. 80c EIMP ), elle fait établir un inventaire précis des pièces dont la remise est contestée. Elle impartit au détenteur un délai (qui peut être bref) pour faire valoir, pièce par pièce,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6.3</w:t>
      </w:r>
    </w:p>
    <w:p>
      <w:r>
        <w:t>La procédure suivie en l'espèce par le juge d'instruction ne paraît pas satisfaire à ces exigences. Par lettre du 27 octobre 2003, le juge d'instruction requérant a fait savoir qu'il désirait obtenir la totalité des pièces contenues dans les cartons mis sous scellés lors de la perquisition du 17 septembre 2000; il joignait un procès-verbal des enquêteurs belges présents sur place, selon lequel A.________ et son conseil auraient examiné un par un les documents déjà sélectionnés par les enquêteurs, afin d'éviter la transmission de pièces étrangères à l'affaire E.________. Les recourants soutiennent pour leur part qu'ils n'ont pas été à même de participer à un tri serein en vue d'une éventuelle ordonnance de clôture et qu'ils s'opposaient à la transmission des quelques documents excédant la période visée. Quelles que soient les circonstances exactes dans lesquelles la perquisition et la saisie des pièces ont eu lieu, il n'est pas contesté qu'un tri a bien été opéré par les enquêteurs présents lors de la perquisition. L'autorité requérante a par la suite confirmé que l'ensemble des pièces contenues dans les deux cartons saisis devait lui être remis. Pour leur part, les recourants contestent avoir disposé immédiatement d'une occasion suffisante de participer à l'examen des documents saisis. Leur mandataire s'est manifesté par la suite en demandant formellement qu'il soit procédé à un tel tri, mais aucune convocation n'a été adressée dans ce sens et aucun délai n'a été imparti pour présenter des objections, après consultation des documents. Les recourants n'ont donc pas disposé, devant l'autorité d'exécution, d'une occasion suffisante pour faire valoir leurs objections à l'encontre de la transmission de documents déterminés. En revanche, le mandataire des recourants admet avoir eu un accès sans restriction aux pièces saisies dans le cadre de la préparation du recours cantonal. Or, la procédure cantonale de recours pouvait permettre d'obtenir la réparation de l'irrégularité alléguée, soit en faisant valoir directement les objections devant la Chambre d'accusation, soit en obtenant le renvoi de la cause au juge d'instruction, afin qu'il statue lui-même. Les recourants prétendent qu'un examen de détail n'était pas possible compte tenu du nombre de documents; toutefois, selon leurs propres indications, les documents sans rapport avec la demande d'entraide ne seraient pas nombreux, et devraient ainsi pouvoir être localisés sans difficultés. En outre, si le temps à disposition ne permettait pas une consultation suffisante, il leur appartenait de requérir une consultation plus approfondie, avec le cas échéant la possibilité de compléter leur recours; un droit de réplique leur a d'ailleurs été accordé. Dans ces conditions, les recourants ne pouvaient se contenter de se plaindre de la procédure - certes discutable - suivie par le juge d'instruction; ils devaient simultanément présenter leurs objections sur le fond à la transmission de documents déterminés. En définitive, si la jurisprudence impose à l'autorité d'exécution de procéder au tri des pièces ( ATF 130 II 14 ), on ne saurait interpréter cette obligation comme dispensant le détenteur de son devoir de coopération (arrêt 1A.98/2004 du 16 juin 2004). Soulevé sous cette forme et à ce stade, l'argument apparaît contraire au principe de la bonne foi (cf. ATF 126 II 258 précité), ainsi qu'au principe de célérité ( art. 17 EIMP ) qui commande de faire valoir en temps utile ses objections. Le grief doit par conséquent être écarté.</w:t>
      </w:r>
    </w:p>
    <w:p>
      <w:r>
        <w:rPr>
          <w:b/>
        </w:rPr>
        <w:t>E. 7</w:t>
      </w:r>
    </w:p>
    <w:p>
      <w:r>
        <w:t>Sur le vu de ce qui précède, le recours doit être rejeté, dans la mesure où il est recevable. Un émolument judiciaire est mis à la charge des recourants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