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1A.145/2006 vom 15. September 2006</w:t>
      </w:r>
    </w:p>
    <w:p>
      <w:r>
        <w:t>Bundesgericht, 2006-09-15, FR</w:t>
      </w:r>
    </w:p>
    <w:p>
      <w:r>
        <w:rPr>
          <w:b/>
        </w:rPr>
        <w:t xml:space="preserve">Quelle: </w:t>
      </w:r>
      <w:r>
        <w:t>https://mcp.opencaselaw.ch/entscheid/bger_1A.145_2006</w:t>
      </w:r>
    </w:p>
    <w:p>
      <w:r>
        <w:t>FR: TF 1A.145/2006 du 15 septembre 2006</w:t>
      </w:r>
    </w:p>
    <w:p>
      <w:r>
        <w:t>IT: TF 1A.145/2006 del 15 settembre 2006</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recourante a qualité pour recourir, en tant que titulaire du compte bancaire au sujet duquel le Juge d'instruction a décidé de transmettre des renseignements ( art. 80h let. b EIMP et 9a let. a OEIMP).</w:t>
      </w:r>
    </w:p>
    <w:p>
      <w:r>
        <w:rPr>
          <w:b/>
        </w:rPr>
        <w:t>E. 2</w:t>
      </w:r>
    </w:p>
    <w:p>
      <w:r>
        <w:t>La recourante considère que la demande d'entraide ne serait pas suffisamment motivée: elle se bornerait à évoquer l'acquisition de deux immeubles par des sociétés, ainsi que les liens entre E.________ et B.________, sans toutefois préciser quelles infractions seraient reprochées à ce dernier. Le Juge d'instruction lui-même avait exigé des informations complémentaires sur ce point et dans sa réponse, l'autorité requérante ne faisait que mentionner les transactions qui l'intéressaient. Les soupçons de l'autorité requérante ne pourraient se fonder ni sur l'ampleur des transactions, ni sur leur absence de justification, ni enfin sur l'existence d'une structure financière particulièrement complexe. La limitation, par le Juge d'instruction, des renseignements transmis viendrait confirmer la nature exploratoire de la demande.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2.2</w:t>
      </w:r>
    </w:p>
    <w:p>
      <w:r>
        <w:t>Lorsque l'entraide judiciaire est requise, comme en l'espèce, pour la répression d'infractions de blanchiment, la demande doit comporter des indications suffisantes pour admettre l'existence d'une infraction préalable, comme l'exige en droit suisse l' art. 305bis CP . L'autorité requérante ne peut se contenter d'évoquer la possibilité abstraite que les mouvements de fonds aient une origine criminelle (arrêt 1A.188/ 2005 du 24 octobre 2005, consid. 2.2-2.4 et les arrêts cités). Elle n'a certes pas à prouver l'existence d'une infraction préalable ( ATF 129 II 97 ), mais elle doit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dont le séquestre est demandé ont effectivement servi au transfert des fonds dont on soupçonne l'origine délictueuse ( ATF 130 II 329 consid 5.1 p. 335 et la jurisprudence citée).</w:t>
      </w:r>
    </w:p>
    <w:p>
      <w:r>
        <w:rPr>
          <w:b/>
        </w:rPr>
        <w:t>E. 2.3</w:t>
      </w:r>
    </w:p>
    <w:p>
      <w:r>
        <w:t>La demande d'entraide initiale n'est certes pas des plus explicite quant aux infractions reprochées notamment à B.________ et E.________. ll est toutefois clairement expliqué que les deux opérations immobilières décrites pourraient constituer des actes de blanchiment d'argent. S'agissant des infractions préalables, la demande mentionne en outre les liens de E.________ avec la mafia et le trafic d'armes et de pierres précieuses, ainsi que ses relations avec G.________, patron du crime organisé. B.________ serait pour sa part lié à F.________, suspecté d'actes de blanchiment.</w:t>
      </w:r>
    </w:p>
    <w:p>
      <w:r>
        <w:t>Contrairement à ce que soutient la recourante, le magistrat étranger ne s'est pas contenté, dans son complément du 17 mai 2005, de fournir une liste des mouvements de fonds auxquels il s'intéresse. Il a en effet produit un exemplaire de la demande d'entraide adressée à la Principauté de Monaco le 26 août 2004. Celle-ci contient les mêmes indications que la demande d'entraide adressée le même jour à la Suisse; le magistrat de Marseille désirait être renseigné sur la procédure pour blanchiment en cours à Monaco, concernant une société présidée par E.________ et administrée par B.________; cette procédure avait conduit à l'expulsion des deux précités du territoire monégasque, au mois de décembre 2002. Les pièces de la procédure monégasque, produites en réponse à cette commission rogatoire, et en particulier le rapport de la police judiciaire du 27 octobre 2000, confirment le soupçon selon lequel E.________ et B.________ auraient reçu des montants importants et mis en place des structures financières complexes afin de blanchir des fonds provenant de la criminalité organisée en Russie, raison pour laquelle une mesure d'éloignement a été prise à leur encontre.</w:t>
      </w:r>
    </w:p>
    <w:p>
      <w:r>
        <w:rPr>
          <w:b/>
        </w:rPr>
        <w:t>E. 2.4</w:t>
      </w:r>
    </w:p>
    <w:p>
      <w:r>
        <w:t>Dans ces conditions, le soupçon de blanchiment apparaît suffisamment fondé, et l'autorité requérante est légitimée à vouloir vérifier les circonstances et les buts réels des deux acquisitions immobilières qu'elle décrit. Contrairement à ce que soutient la recourante, la limitation de la transmission à certaines opérations n'est pas due à la motivation insuffisante de la demande d'entraide, mais correspond à la mission telle qu'elle est définie par le magistrat requérant lui-même.</w:t>
      </w:r>
    </w:p>
    <w:p>
      <w:r>
        <w:rPr>
          <w:b/>
        </w:rPr>
        <w:t>E. 3</w:t>
      </w:r>
    </w:p>
    <w:p>
      <w:r>
        <w:t>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