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1A.135/2003 vom 17. November 2003</w:t>
      </w:r>
    </w:p>
    <w:p>
      <w:r>
        <w:t>Bundesgericht, 2003-11-17, IT</w:t>
      </w:r>
    </w:p>
    <w:p>
      <w:r>
        <w:rPr>
          <w:b/>
        </w:rPr>
        <w:t xml:space="preserve">Quelle: </w:t>
      </w:r>
      <w:r>
        <w:t>https://mcp.opencaselaw.ch/entscheid/bger_1A.135_2003</w:t>
      </w:r>
    </w:p>
    <w:p>
      <w:r>
        <w:t>FR: TF 1A.135/2003 du 17 novembre 2003</w:t>
      </w:r>
    </w:p>
    <w:p>
      <w:r>
        <w:t>IT: TF 1A.135/2003 del 17 novembre 2003</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In base alla norma speciale dell' art. 25 cpv. 6 AIMP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w:t>
      </w:r>
    </w:p>
    <w:p>
      <w:r>
        <w:rPr>
          <w:b/>
        </w:rPr>
        <w:t>E. 1.3</w:t>
      </w:r>
    </w:p>
    <w:p>
      <w:r>
        <w:t>Interposto tempestivamente contro una decisione di trasmissione di documenti, acquisiti in esecuzione di una domanda di assistenza, resa dall'Autorità federale d'esecuzione, il ricorso di diritto amministrativo è ricevibile dal profilo dell'art. 80g cpv. 1 in relazione con l' art. 25 cpv. 1 AIMP . La legittimazione del ricorrente, sottoposto direttamente a una perquisizione domiciliare, é pacifica ( art. 80h lett. b AIMP in relazione con l' art. 9a lett. b OAIMP ).</w:t>
      </w:r>
    </w:p>
    <w:p>
      <w:r>
        <w:rPr>
          <w:b/>
        </w:rPr>
        <w:t>E. 2.1</w:t>
      </w:r>
    </w:p>
    <w:p>
      <w:r>
        <w:t>Il ricorrente fa valere che il complemento rogatoriale del 19 febbraio 2001 sarebbe contraddittorio e non sufficientemente sostanziato, visto che oggetto del procedimento penale italiano sarebbe il reato di contrabbando di sigarette; i fatti sarebbero diversi da quelli indicati nell'ordinanza di custodia cautelare del 19 febbraio 2001 del Giudice per le indagini preliminari presso il Tribunale di Bari (GIP), ossia la partecipazione con funzione dirigenziale a un'associazione di stampo camorristico-mafioso, e sarebbero stati stravolti dalla Procura di Bari e dal MPC al fine di far sparire dalla descrizione il traffico di sigarette, per consentire l'assistenza. Secondo il ricorrente, l'associazione sarebbe finalizzata al contrabbando e quindi a un reato fiscale, al quale non sono applicabili gli art. 260ter (organizzazione criminale) e 305bis CP (riciclaggio). Il MPC avrebbe dovuto quindi esaminare, in applicazione degli art. 3 cpv. 3 AIMP e 24 OAIMP, se fossero dati i presupposti della truffa in materia fiscale e della relativa giurisprudenza, che all'esposto dei fatti pone esigenze più severe, non adempiute in concreto (cfr. in proposito DTF 125 II 250 consid. 5b, 117 Ib 53 consid. 3 pag. 63 seg., 116 Ib 96 consid. 4c). Non essendo realizzato il requisito della doppia punibilità, l'assistenza doveva essere, secondo il ricorrente, negata.</w:t>
      </w:r>
    </w:p>
    <w:p>
      <w:r>
        <w:rPr>
          <w:b/>
        </w:rPr>
        <w:t>E. 2.2</w:t>
      </w:r>
    </w:p>
    <w:p>
      <w:r>
        <w:t>Le censure, già esaminate e respinte dal Tribunale federale nella sentenza del 20 aprile 2001, fondata sulla medesima fattispecie e concernente l'estradizione dell'indagato X.________ (causa 1A.328/2000), non reggono.</w:t>
      </w:r>
    </w:p>
    <w:p>
      <w:r>
        <w:rPr>
          <w:b/>
        </w:rPr>
        <w:t>E. 2.2.1</w:t>
      </w:r>
    </w:p>
    <w:p>
      <w:r>
        <w:t>Secondo quella decisione era innegabile che l'estradando fosse ricercato in Italia anche per il reato di contrabbando aggravato, ma per questa fattispecie la sua estradizione è stata negata. La circostanza che i componenti dell'associazione a delinquere avrebbero compiuto non solo traffici d'armi e di droga, nonché estorsioni, riciclando i proventi di queste attività illecite, ma contemporaneamente anche effettuato il contrabbando di sigarette non permetteva di qualificare il loro agire solo nell'ambito del reato fiscale ai sensi dell'art. 5 della Convenzione europea di estradizione, del 13 dicembre 1957 (RS 0.353.1). Facendo valere che l'associazione era finalizzata al contrabbando pluriaggravato, l'estradando, così si legge nella citata sentenza, disattendeva che la questione di sapere se il peso maggiore dei reati concerneva il contrabbando, o reati di diritto comune, non era decisiva, l'estradizione dovendo essere concessa per i reati di diritto comune, a condizione che l'estradando non fosse perseguito per i reati fiscali, e che questi non fossero presi in considerazione come circostanze aggravanti (consid. 3b; DTF 112 Ib 55 consid. 5d/bb). Il Tribunale federale aveva ritenuto manifesto in quella fattispecie che il reato di contrabbando non assorbisse le imputazioni di diritto comune e che non si fosse in presenza di un concorso improprio; ha poi stabilito che l'esposto di fatti non era lacunoso né contraddittorio (consid. 4).</w:t>
      </w:r>
    </w:p>
    <w:p>
      <w:r>
        <w:rPr>
          <w:b/>
        </w:rPr>
        <w:t>E. 2.2.2</w:t>
      </w:r>
    </w:p>
    <w:p>
      <w:r>
        <w:t>Nella presente fattispecie il ricorrente non contesta del tutto i fatti posti a fondamento dell'ordinanza del GIP né la sua partecipazione all'organizzazione. Ora, nella sentenza del 20 aprile 2001 il Tribunale federale ha ritenuto adempiuto il requisito della doppia punibilità riguardo all' art. 260ter CP (consid. 5a-d): esso ha ribadito questa conclusione nelle sentenze del 14 giugno 2001 (cause 1A.326/2000, consid. 2a, e 1A.327/2000, consid. 3), del 13 marzo 2003 (causa 1A.252/2002, consid. 2.1) e del 30 ottobre 2003 (causa 1A.126/2003, consid. 2.3), concernenti la stessa fattispecie e nelle quali è stata confermata la concessione dell'assistenza. Ora, l'assistenza dev'essere concessa quando sia richiesta per la repressione di più reati e uno di essi sia punibile secondo il diritto svizzero ( DTF 124 II 184 consid. 4b/cc e rinvii, 110 Ib 173 consid. 5b in fine).</w:t>
      </w:r>
    </w:p>
    <w:p>
      <w:r>
        <w:rPr>
          <w:b/>
        </w:rPr>
        <w:t>E. 2.3</w:t>
      </w:r>
    </w:p>
    <w:p>
      <w:r>
        <w:t>Il gravame dev'essere respinto anche perché il ricorrente, davanti al MPC, non ha indicato quali singoli documenti sarebbero sicuramente irrilevanti per il procedimento penale estero e nemmeno ha spiegato in maniera precisa, sempre per ogni singolo documento, perché un determinato atto non dovrebbe essere trasmesso ( DTF 126 II 258 consid. 9c in fine, 122 II 367 consid. 2d pag. 371 seg.).</w:t>
      </w:r>
    </w:p>
    <w:p>
      <w:r>
        <w:rPr>
          <w:b/>
        </w:rPr>
        <w:t>E. 3</w:t>
      </w:r>
    </w:p>
    <w:p>
      <w:r>
        <w:t>Il ricorrente accenna infine all' art. 67 AIMP . Ora, è palese che l'UFG, al momento della consegna dei documenti, richiamerà il principio della specialità (al riguardo v. DTF 126 II 316 consid. 2a e b, 124 II 180 consid. 4b, 125 II 258 consid. 7a/aa-bb, 122 II 134 consid. 7a-c; cfr. per i procedimenti fiscali DTF 115 Ib 373 consid. 8). Del resto, egli non sostiene né rende verosimile che lo Stato richiedente non rispetterà tale principio (cfr. su questo tema DTF 124 II 184 consid. 5 e 6).</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