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1A.135/2000 vom 1. Mai 2001</w:t>
      </w:r>
    </w:p>
    <w:p>
      <w:r>
        <w:t>Bundesgericht, 2001-05-01, DE</w:t>
      </w:r>
    </w:p>
    <w:p>
      <w:r>
        <w:rPr>
          <w:b/>
        </w:rPr>
        <w:t xml:space="preserve">Quelle: </w:t>
      </w:r>
      <w:r>
        <w:t>https://mcp.opencaselaw.ch/entscheid/bger_1A.135_2000</w:t>
      </w:r>
    </w:p>
    <w:p>
      <w:r>
        <w:t>FR: TF 1A.135/2000 du 1 mai 2001</w:t>
      </w:r>
    </w:p>
    <w:p>
      <w:r>
        <w:t>IT: TF 1A.135/2000 del 1 maggio 2001</w:t>
      </w:r>
    </w:p>
    <w:p>
      <w:pPr>
        <w:pStyle w:val="Heading2"/>
      </w:pPr>
      <w:r>
        <w:t>Regeste</w:t>
      </w:r>
    </w:p>
    <w:p>
      <w:r>
        <w:t>Raumplanung und öffentliches Baurecht</w:t>
      </w:r>
    </w:p>
    <w:p>
      <w:pPr>
        <w:pStyle w:val="Heading2"/>
      </w:pPr>
      <w:r>
        <w:t>Erwägungen</w:t>
      </w:r>
    </w:p>
    <w:p>
      <w:r>
        <w:rPr>
          <w:b/>
        </w:rPr>
        <w:t>E. 1</w:t>
      </w:r>
    </w:p>
    <w:p>
      <w:r>
        <w:t>Die Beschwerdeführer haben alle gleich lautende Rechtsschriften eingereicht und die selben Begehren gestellt. Es rechtfertigt sich daher, die dreizehn Beschwerden in einem einzigen Urteil zu behandeln.</w:t>
      </w:r>
    </w:p>
    <w:p>
      <w:r>
        <w:rPr>
          <w:b/>
        </w:rPr>
        <w:t>E. 2</w:t>
      </w:r>
    </w:p>
    <w:p>
      <w:r>
        <w:t>Die Liegenschaften der Beschwerdeführer gehören gemäss Lärmbelastungskataster und Schallschutzkonzept zu den Grundstücken, die einer Lärmbelastung von um die 65 dB(A) ausgesetzt sind und für welche Sanierungserleichterungen gewährt worden sind. Die Beschwerdeführer werden insofern durch den Sanierungsentscheid berührt und haben ein schutzwürdiges Interesse an dessen Aufhebung oder Änderung. Sie sind mithin zur Verwaltungsgerichtsbeschwerde befugt (Art. 103 lit. a des Bundesgesetzes über die Organisation der Bundesrechtspflege; OG, SR 173. 110).</w:t>
      </w:r>
    </w:p>
    <w:p>
      <w:r>
        <w:rPr>
          <w:b/>
        </w:rPr>
        <w:t>E. 3</w:t>
      </w:r>
    </w:p>
    <w:p>
      <w:r>
        <w:t>Die Beschwerdeführer ersuchen in erster Linie um Entlassung ihrer Liegenschaften aus dem Perimeter des Lärmbelastungskatasters bzw. dem Perimeter der Erleichterungen. Diesem Begehren kann jedoch nicht stattgegeben werden. Mit dem Lärmbelastungskataster im Sinne von Art. 37 der Lärmschutz-Verordnung in der Fassung vom 15. Dezember 1986 und neu auch in der Fassung vom 12. April 2000 (LSV, SR 814. 41) wird lediglich die bestehende oder eine zulässige künftige Lärmbelastung ausgewiesen. Da der Lärmbelastungskataster für den Militärflugplatz Dübendorf auf den Flugbewegungszahlen des Jahres 2000 beruht und diese auch inskünftig nicht überschritten werden dürfen, wird damit nur die bereits gegebene Situation festgestellt. Dass der Kataster auf falschen Daten beruhe, sonstwie unrichtig berechnet oder fehlerhaft gezeichnet worden sei, machen die Beschwerdeführer selbst nicht geltend. Ist aber die Lärmsituation, wie sie seit dem Jahr 2000 besteht, richtig ermittelt und dargestellt worden, ist eine Verkleinerung des durch die Linien gleicher Lärmbelastung (Isophonen) vorgegebenen Perimeters ausgeschlossen. Daran ändert nichts, dass die Liegenschaften in der Nähe der Isophonen nach menschlicher Wahrnehmung vom Lärm (fast) gleich betroffen werden. Die Grenzziehung muss nach den angestellten Messungen oder Berechnungen erfolgen, eine ungerechtfertigte Ungleichbehandlung entsteht dadurch nicht. Es könnte sich hier höchstens fragen, ob nicht die ganze Überbauung am X.________, die durch die 65 dB(A)-Isophone durchschnitten wird, in den Erleichterungs-Perimeter hätte einbezogen werden sollen. Selbst wenn dies nach den vom Bundesgericht aufgestellten Grundsätzen zu bejahen wäre (vgl. BGE 126 II 522 E. 48b S. 593) - was nicht zu prüfen ist -, würden die Beschwerdeführer dadurch nichts gewinnen. Die Begehren um Entlassung aus dem Lärmbelastungskataster bzw. aus dem Erleichterungs-Perimeter sind daher abzuweisen.</w:t>
      </w:r>
    </w:p>
    <w:p>
      <w:r>
        <w:rPr>
          <w:b/>
        </w:rPr>
        <w:t>E. 4</w:t>
      </w:r>
    </w:p>
    <w:p>
      <w:r>
        <w:t>Die Beschwerdeführer verlangen im Weiteren, dass auch an ihren Häusern auf Kosten des Inhabers des Militärflugplatzes Schallschutzfenster eingebaut würden. Wie das Departement zu Recht dargelegt hat, sehen indessen Art. 20 des Bundesgesetzes über den Umweltschutz vom 7. Oktober 1983 (USG, SR 814. 01) und Art. 15 LSV die Pflicht zur Vornahme baulicher Schallschutzmassnahmen bei bestehenden öffentlichen oder konzessionierten Anlagen erst vor, wenn die Alarmwerte überschritten werden. Dagegen wird bei Neuerstellung oder wesentlicher Änderung solcher lärmerzeugender Anlagen die Schallschutzpflicht schon ausgelöst, wenn die Immissionsgrenzwerte nicht eingehalten werden können ( Art. 25 Abs. 3 USG , Art. 10 in Verbindung mit Art. 7 Abs. 2 und Art. 8 Abs. 2 LSV ). Aus diesem Grund müssen bei der Sanierung des Flughafens Zürich-Kloten, die im Rahmen des - als wesentliche Änderung geltenden - Ausbaus der Anlage durchgeführt wird, die sog. passiven Schallschutzvorkehren schon bei Überschreitung der Immissionsgrenzwerte getroffen werden (vgl. BGE 124 II 293 E. 16 und 17 S. 327 ff.). Die dargestellte, im Umweltschutzgesetz und in der Lärmschutz-Verordnung enthaltene Regelung über den passiven Schallschutz ist grundsätzlich auch in das Bundesgesetz über die Lärmsanierung der Eisenbahnen vom 24. März 2000 aufgenommen worden, wobei an Stelle des Anlageninhabers der Bund kostenpflichtig wird (SR 742. 144, vgl. AS 2000 S. 2206). Allerdings sieht Art. 10 Abs. 2 des neuen Gesetzes zusätzlich vor, dass der Bund schon bei Überschreitung der Immissionsgrenzwerte die Hälfte der Kosten der von den Gebäudeeigentümern freiwillig ergriffenen Schallschutzmassnahmen übernimmt. Ob in dieser weiter gehenden Kostenrückerstattungspflicht eine gegen die Rechtsgleichheit verstossende Besserstellung der Bahnlärmbetroffenen liege, muss offen bleiben, da das Bundesgericht zur Überprüfung der Verfassungsmässigkeit der Bundesgesetze nicht berechtigt ist ( Art. 191 BV ). Festzustellen ist hier einzig, dass den Beschwerdeführern aufgrund der eidgenössischen Umweltschutzgesetzgebung kein Anspruch auf Einbau von Schallschutzfenstern auf Kosten des Inhabers des Militärflugplatzes zusteht.</w:t>
      </w:r>
    </w:p>
    <w:p>
      <w:r>
        <w:rPr>
          <w:b/>
        </w:rPr>
        <w:t>E. 5</w:t>
      </w:r>
    </w:p>
    <w:p>
      <w:r>
        <w:t>In den Beschwerden werden ebenfalls Entschädigungsbegehren gestellt, und zwar sowohl für die lärmbedingte Entwertung der belasteten Liegenschaften als auch für die Kosten der freiwillig von den Eigentümern ergriffenen Schallschutzmassnahmen. Es trifft an sich zu, dass den Eigentümern von Grundstücken, die durch übermässige, von einem öffentlichen Werk ausgehende Immissionen belastet werden, aufgrund des eidgenössischen Enteignungsrechts Entschädigungsansprüche erwachsen können. Solche Entschädigungsbegehren sind aber nicht im Lärmsanierungsverfahren zu stellen, sondern im enteignungsrechtlichen Verfahren vor der Eidgenössischen Schätzungskommission (s. etwa BGE 112 Ib 176 , 126 II 522 E. 50 S. 597 f.). Die Beschwerdeführer müssten deshalb das VBS ersuchen, beim Präsidenten der zuständigen Eidgenössischen Schätzungskommission ein Enteignungsverfahren zur Abgeltung der unterdrückten nachbarlichen Abwehrrechte zu eröffnen. Auf die Entschädigungsforderungen der Beschwerdeführer kann somit im vorliegenden Verfahren nicht eingetreten werden. Aus prozessökonomischen Gründen ist ergänzend zu bemerken, dass die Entschädigungsbegehren der Beschwerdeführer aufgrund der bisherigen Rechtsprechung auch im enteignungsrechtlichen Verfahren nur wenig Aussicht auf Erfolg haben. Da die fraglichen Grundstücke offenbar in den achtziger Jahren überbaut worden sind, fehlt es für eine Entschädigungspflicht aus formeller Enteignung wohl an der Voraussetzung der Unvorhersehbarkeit der Immissionen. Entschädigungen aus materieller Enteignung dürften schon deshalb ausser Betracht fallen, weil die bisherige Nutzung der Grundstücke und der Wohnhäuser weiterhin möglich bleibt (vgl. etwa BGE 123 II 481 E.6 und 7a/b). Hinzu kommt, dass die Zuständigkeit der Eidgenössischen Schätzungskommission zur Beurteilung solcher Begehren einlässlicher Prüfung bedürfte.</w:t>
      </w:r>
    </w:p>
    <w:p>
      <w:r>
        <w:rPr>
          <w:b/>
        </w:rPr>
        <w:t>E. 6</w:t>
      </w:r>
    </w:p>
    <w:p>
      <w:r>
        <w:t>Die Verwaltungsgerichtsbeschwerden sind nach dem Gesagten abzuweisen, soweit auf sie eingetreten werden kann. Da die eingereichten Beschwerden sinngemäss als Einsprachen gegen übermässige Lärmimmissionen betrachtet werden können, ist die Kosten- und Entschädigungsregelung entsprechend den Spezialbestimmungen des eidgenössischen Enteignungsgesetzes zu treffen. Somit ist die Gerichtsgebühr, die niedrig gehalten werden kann, dem BABLW als Inhaber des Militärflugplatzes Dübendorf zu überbinden. Parteientschädigungen sind den Beschwerdeführern nicht zuzusprechen, weil sie sich nicht durch einen Anwalt vertreten liessen.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