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1A.133/2000 vom 24. Mai 2000</w:t>
      </w:r>
    </w:p>
    <w:p>
      <w:r>
        <w:t>Bundesgericht, 2000-05-24, FR</w:t>
      </w:r>
    </w:p>
    <w:p>
      <w:r>
        <w:rPr>
          <w:b/>
        </w:rPr>
        <w:t xml:space="preserve">Quelle: </w:t>
      </w:r>
      <w:r>
        <w:t>https://mcp.opencaselaw.ch/entscheid/bger_1A.133_2000</w:t>
      </w:r>
    </w:p>
    <w:p>
      <w:r>
        <w:t>FR: TF 1A.133/2000 du 24 mai 2000</w:t>
      </w:r>
    </w:p>
    <w:p>
      <w:r>
        <w:t>IT: TF 1A.133/2000 del 24 maggio 2000</w:t>
      </w:r>
    </w:p>
    <w:p>
      <w:pPr>
        <w:pStyle w:val="Heading2"/>
      </w:pPr>
      <w:r>
        <w:t>Erwägungen</w:t>
      </w:r>
    </w:p>
    <w:p>
      <w:r>
        <w:rPr>
          <w:b/>
        </w:rPr>
        <w:t>E. 1</w:t>
      </w:r>
    </w:p>
    <w:p>
      <w:r>
        <w:t>a) Le recours de droit administratif est formé en temps utile contre une décision de clôture confirmée par l'autorité cantonale de dernière instance (art. 80f al. 1 de la loi fédérale sur l'entraide internationale en matière pénale - EIMP, RS 351. 1).</w:t>
      </w:r>
    </w:p>
    <w:p>
      <w:r>
        <w:t>b) Le recourant n'est pas titulaire des comptes dont le juge d'instruction envisage de transmettre la documentation d'ouverture; il n'en est que l'ayant droit, ce qui ne suffit en principe pas pour se voir reconnaître la qualité pour agir. A titre exceptionnel toutefois, la jurisprudence reconnaît cette qualité à l'ayant droit d'une société qui, dissoute, n'est plus à même d'agir elle-même ou par l'entremise de ses liquidateurs ( ATF 123 II 153 consid. 2 p. 156).</w:t>
      </w:r>
    </w:p>
    <w:p>
      <w:r>
        <w:t>Tel est le cas en l'espèce. Il ressort de l'interrogatoire de A.________ que le titulaire des comptes xxx/yyy est une société du même nom appartenant à E.________. La société ayant été liquidée depuis plusieurs années, il convient de reconnaître au recourant la qualité pour recourir, en tout cas pour ce qui concerne la transmission de la documentation bancaire. Il ne peut en revanche s'opposer à la transmission des dépositions de témoins que dans la mesure où les renseignements qu'elles contiennent équivalent à la transmission de documents bancaires relatifs à ses comptes ( ATF 124 II 180 consid. 2 p. 182).</w:t>
      </w:r>
    </w:p>
    <w:p>
      <w:r>
        <w:t>En l'espèce, les témoins se sont exprimés sur la situation et les activités générales de C.________, renseignements qui ne concernent pas le recourant, ni sa société. Dans sa déposition, du 20 octobre 1998, A.________ a précisé que le compte xxx/yyy était détenu par une société appartenant au recourant (p. 4, ch. 4 de la deuxième liste).</w:t>
      </w:r>
    </w:p>
    <w:p>
      <w:r>
        <w:t>En revanche, la déposition de L.________, du 21 octobre 1998, ne contient rien à ce propos. Quant au rapport de police du 3 novembre 1998, il résume les déclarations de A.________ et L.________, et ne révèle rien au sujet du recourant ou de sa société.</w:t>
      </w:r>
    </w:p>
    <w:p>
      <w:r>
        <w:rPr>
          <w:b/>
        </w:rPr>
        <w:t>E. 2</w:t>
      </w:r>
    </w:p>
    <w:p>
      <w:r>
        <w:t>Le recourant reprend l'argumentation soumise à la cour cantonale. Il soutient que la condition de la double incrimination ne serait pas réalisée, car l'utilisation de comptes globaux, telle que décrite dans la demande, ne serait constitutive d'escroquerie ni en droit suisse ni en droit allemand. Les retraits d'argent comptant et l'utilisation de sociétés étrangères seraient également irrelevants de ce point de vue. L' art. 63 al. 5 EIMP , qui permet d'accorder l'entraide à décharge nonobstant des motifs d'irrecevabilité, serait inapplicable, en tout cas à l'égard du recourant.</w:t>
      </w:r>
    </w:p>
    <w:p>
      <w:r>
        <w:rPr>
          <w:b/>
        </w:rPr>
        <w:t>E. 3</w:t>
      </w:r>
    </w:p>
    <w:p>
      <w:r>
        <w:t>Par arrêt du 12 avril 2000, le Tribunal fédéral a déjà admis un recours de droit administratif formé dans le cadre de la même demande d'entraide judiciaire, en considérant que les faits décrits ne pouvaient être qualifiés d'escroquerie fiscale. Les considérants de cet arrêt sont repris ci-dessous, et conduisent à l'admission partielle du présent recours.</w:t>
      </w:r>
    </w:p>
    <w:p>
      <w:r>
        <w:t>a) Selon l' art. 14 CEEJ , la demande d'entraide doit notamment indiquer son objet et son but (ch. 1 let. b), ainsi que l'inculpation et un exposé sommaire des faits (ch. 2).</w:t>
      </w:r>
    </w:p>
    <w:p>
      <w:r>
        <w:t>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Lorsque l'acte poursuivi est une escroquerie fiscale, la jurisprudence n'exige pas non plus une preuve stricte de l'état de fait; il suffit qu'existent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 Dans tous les cas, l'autorité requérante n'a pas à prouver les faits qu'elle avance.</w:t>
      </w:r>
    </w:p>
    <w:p>
      <w:r>
        <w:t>b) Selon l' art. 3 al. 3 EIMP , la demande d'entraide est irrecevable si la procédure étrangère vise un acte qui paraît tendre à diminuer les recettes fiscales; l'entraide peut en revanche être accordée pour la répression d'une escroquerie fiscale. L'EIMP ne définit pas cette notion, mais l' art. 24 al. 1 OEIMP renvoie à l'art. 14 al. 2 de la loi fédérale sur le droit pénal administratif (DPA, RS 313. 0).</w:t>
      </w:r>
    </w:p>
    <w:p>
      <w:r>
        <w:t>Cette disposition réprime celui qui, par une tromperie astucieuse, aura soustrait un montant important représentant une contribution. Il convient en outre de s'en tenir à la définition de l'escroquerie selon l'actuel art. 146 CP , et à la jurisprudence qui s'y rapporte. Il y a ainsi escroquerie à l'impôt lorsque le contribuable obtient une taxation injustement favorable, en recourant à des manoeuvres frauduleuses tendant à faire naître une vision faussée de la réalité. Si la remise, à l'autorité fiscale, de titres inexacts ou incomplets constitue toujours une escroquerie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ou lorsqu'il fait de fausses déclarations dont la vérification ne serait possible qu'au prix d'un effort particulier ou ne pourrait raisonnablement être exigée, ou lorsqu'il dissuade la victime de les contrôler, prévoit qu'un tel contrôle ne pourrait se faire sans grand peine ou mise sur un rapport de confiance (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w:t>
      </w:r>
    </w:p>
    <w:p>
      <w:r>
        <w:t>A l'inverse, il n'y a point escroquerie lorsque la victime aurait pu se protéger elle-même en faisant preuve d'un minimum d'attention (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révélation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non publié du 8 juillet 1998 dans la cause M., consid. 3).</w:t>
      </w:r>
    </w:p>
    <w:p>
      <w:r>
        <w:t>L'escroquerie fiscale se qualifie selon le droit suisse uniquement; il est donc indifférent que les agissements décrits constituent, selon le droit de l'Etat requérant, une escroquerie qualifiée ou une simple fraude fiscale.</w:t>
      </w:r>
    </w:p>
    <w:p>
      <w:r>
        <w:t>c) En l'espèce, l'autorité requérante expose que C.________ serait spécialisée dans le commerce de titres et valeurs; elle agirait fiduciairement pour ses clients. Elle aurait réalisé d'importants bénéfices grâce à des délits d'initiés. On cherche toutefois en vain une quelconque indication quant à ces délits. Les clients disposaient d'un compte de référence auprès de C.________, et cette société possédait des comptes globaux auprès d'établissements bancaires en Allemagne, préservant ainsi l'anonymat des investisseurs.</w:t>
      </w:r>
    </w:p>
    <w:p>
      <w:r>
        <w:t>C.________ (Gibraltar) aurait été créée en 1990, pour effectuer de semblables opérations en évitant le paiement des droits de timbre en Suisse. La demande mentionne les différentes références de clients, qui se recoupent pour partie entre les sociétés de Genève et de Gibraltar. De très importants mouvements de fonds auraient eu lieu entre les deux sociétés, soit plus de 100 millions de marks de 1990 à 1992.</w:t>
      </w:r>
    </w:p>
    <w:p>
      <w:r>
        <w:t>A.________ disposait de complicités au sein même des banques impliquées, soit en particulier de Christian Recker, employé à la banque X.________, qui détenait des quittances en blanc signées par A.________ pour permettre des retraits en son absence. Les échanges d'espèces avaient lieu à Francfort, à la bourse ou dans un hôtel. Les mouvements de fonds et les bénéfices réalisés auraient ainsi été occultés aux autorités fiscales allemandes, ainsi qu'aux autorités de surveillance bancaires et boursières. La demande mentionne enfin un cas d'escroquerie commise par M.________, qui aurait remis des tableaux à un établissement de Zurich en garantie d'un prêt, alors que les tableaux étaient sous réserve de propriété.</w:t>
      </w:r>
    </w:p>
    <w:p>
      <w:r>
        <w:t>A.________ aurait partiellement financé l'achat des tableaux.</w:t>
      </w:r>
    </w:p>
    <w:p>
      <w:r>
        <w:t>d) Le 7 avril 1998, l'AFC a produit un avis selon lequel il y aurait un soupçon suffisant d'escroquerie fiscale.</w:t>
      </w:r>
    </w:p>
    <w:p>
      <w:r>
        <w:t>Même s'il n'était pas fait état d'usage de faux documents, l'astuce ne serait pas exclue, compte tenu du rôle d'intermédiaire actif tenu en Allemagne par A.________, lequel ne se contentait pas de recevoir passivement les fonds en Suisse.</w:t>
      </w:r>
    </w:p>
    <w:p>
      <w:r>
        <w:t>e) Cette dernière opinion ne peut être partagée. On ne voit pas en effet, sur le vu de l'exposé de l'autorité requérante, en quoi consisterait la tromperie astucieuse. Comme le relève la cour cantonale, il n'est pas fait mention de l'usage de documents faux ou falsifiés. Les quittances signées en blanc par A.________ n'en sont pas moins des documents authentiques. L'identité de certains opérateurs a été effacée sur certains justificatifs, mais cela ne pouvait avoir un effet de tromperie puisque le caviardage était évident.</w:t>
      </w:r>
    </w:p>
    <w:p>
      <w:r>
        <w:t>Comme le relèvent les recourants, le simple fait de recourir à un compte global, détenu par une société fiduciaire, et d'y effectuer des opérations pour le compte d'investisseurs anonymes, ne saurait constituer un échafaudage particulièrement sophistiqué et, partant, une tromperie astucieuse (cf. arrêt non publié précité du 8 juillet 1998).</w:t>
      </w:r>
    </w:p>
    <w:p>
      <w:r>
        <w:t>En définitive, on ne se trouve pas en présence d'un édifice de mensonges qui ne pourrait être découvert qu'au prix d'efforts particuliers. Les personnes poursuivies semblent certes avoir bénéficié de complicités à l'intérieur des établissements bancaires, permettant aux investisseurs de demeurer anonymes. Il n'est toutefois fait nulle mention d'un comportement particulièrement astucieux, ni même de falsifications de documents internes à la banque. Certes, A.________ ne s'est pas contenté de recevoir les fonds en Suisse, mais a aussi eu un rôle actif en Allemagne. On ne peut toutefois en déduire une astuce particulière à l'égard du fisc allemand, car son activité se limitait apparemment à des retraits en espèces ou à des virements postaux.</w:t>
      </w:r>
    </w:p>
    <w:p>
      <w:r>
        <w:t>Quant à l'escroquerie commise par M.________ aux dépens d'un établissement zurichois, la demande se borne à affirmer que des tableaux auraient été donnés en garantie d'un prêt alors que, contrairement aux affirmations de l'inculpé, ils étaient sous réserve de propriété. Sur ce point également, il n'est pas fait état de l'usage de faux documents, ou d'un stratagème particulier qui pourrait correspondre à une escroquerie.</w:t>
      </w:r>
    </w:p>
    <w:p>
      <w:r>
        <w:t>Par conséquent, s'il y a certainement eu fraude fiscale de la part des personnes mises en cause, les agissements décrits dans la demande d'entraide ne peuvent être qualifiés d'escroquerie fiscale. L'entraide doit, par conséquent, être refusée, en ce qui concerne le recourant, en application des art. 2 let. a CEEJ et 3 al. 3 EIMP, sans qu'il y ait à s'interroger sur l'application de l' art. 63 al. 5 EIMP .</w:t>
      </w:r>
    </w:p>
    <w:p>
      <w:r>
        <w:rPr>
          <w:b/>
        </w:rPr>
        <w:t>E. 4</w:t>
      </w:r>
    </w:p>
    <w:p>
      <w:r>
        <w:t>Sur le vu de ce qui précède, le recours de droit administratif doit être admis, dans la mesure où il est recevable.</w:t>
      </w:r>
    </w:p>
    <w:p>
      <w:r>
        <w:t>L'ordonnance attaquée doit par conséquent être annulée en tant qu'elle autorise la transmission des documents relatifs aux comptes xxx/yyy, ainsi que du procès-verbal d'audition de A.________ du 20 octobre 1998, dans la mesure où il est fait mention de l'identité du recourant. Le recourant, qui obtient partiellement gain de cause, a droit à l'allocation de dépens, à la charge du canton de Genève.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