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1A.132/1999 vom 25. Januar 2000</w:t>
      </w:r>
    </w:p>
    <w:p>
      <w:r>
        <w:t>Bundesgericht, 2000-01-25, DE</w:t>
      </w:r>
    </w:p>
    <w:p>
      <w:r>
        <w:rPr>
          <w:b/>
        </w:rPr>
        <w:t xml:space="preserve">Quelle: </w:t>
      </w:r>
      <w:r>
        <w:t>https://mcp.opencaselaw.ch/entscheid/bger_1A.132_1999</w:t>
      </w:r>
    </w:p>
    <w:p>
      <w:r>
        <w:t>FR: TF 1A.132/1999 du 25 janvier 2000</w:t>
      </w:r>
    </w:p>
    <w:p>
      <w:r>
        <w:t>IT: TF 1A.132/1999 del 25 gennaio 2000</w:t>
      </w:r>
    </w:p>
    <w:p>
      <w:pPr>
        <w:pStyle w:val="Heading2"/>
      </w:pPr>
      <w:r>
        <w:t>Erwägungen</w:t>
      </w:r>
    </w:p>
    <w:p>
      <w:r>
        <w:rPr>
          <w:b/>
        </w:rPr>
        <w:t>E. 1</w:t>
      </w:r>
    </w:p>
    <w:p>
      <w:r>
        <w:t>a) Die beiden Beschwerden richten sich gegen dasselbe Urteil und betreffen die gleichen Parteien und den nämlichen Sachverhalt. Es rechtfertigt sich, die Verfahren zu vereinigen ( Art. 40 OG in Verbindung mit Art. 24 BZP ).</w:t>
      </w:r>
    </w:p>
    <w:p>
      <w:r>
        <w:t>b) Im Folgenden ist zunächst zu prüfen, ob die Verwaltungsgerichtsbeschwerde zulässig und begründet ist (E. 2). Für die im Verfahren der Verwaltungsgerichtsbeschwerde nicht behandelten Rügen ist anschliessend zu prüfen, ob sie mit staatsrechtlicher Beschwerde geltend gemacht werden können und begründet sind (E. 3).</w:t>
      </w:r>
    </w:p>
    <w:p>
      <w:r>
        <w:rPr>
          <w:b/>
        </w:rPr>
        <w:t>E. 2</w:t>
      </w:r>
    </w:p>
    <w:p>
      <w:r>
        <w:t>In der inneren Altstadt, die eine in sich besonders geschlossene Einheit darstellt, gelten die Bestimmungen zur Erhaltung, Wiederherstellung und Verbesserung in verstärktem Masse.</w:t>
      </w:r>
    </w:p>
    <w:p>
      <w:r>
        <w:t>Die Ausführungen des Verwaltungsgerichts stehen jedenfalls nicht in krassem Widerspruch zu dieser Norm. Entgegen der Auffassung des Beschwerdeführers spricht das Reglement nicht nur von der baulichen Gestaltung, sondern auch von der inneren Struktur und der städtebaulichen Eigenart. Es ist nicht willkürlich, darunter auch die Nutzungsart in einem bestimmten Quartier zu verstehen. Der Umstand, dass bereits ruhestörende Betriebe vorkommen und ein Grundteppich an Lärm vorhanden ist, bedeutet nicht, dass es generell willkürlich wäre, weitere ruhestörende Betriebe zu verbieten. Zudem hatte das Verwaltungsgericht nicht konkret andere Betriebe zu beurteilen, so dass ihm nicht vorgeworfen werden kann, es habe ungleiche Massstäbe angewendet.</w:t>
      </w:r>
    </w:p>
    <w:p>
      <w:r>
        <w:t>f) Die Rüge, das Verwaltungsgericht habe verkannt, dass gemäss Bauordnung mässig störende Betriebe in der Altstadt zulässig seien, ist unbehelflich. Das Verwaltungsgericht hat erwogen, das Altstadtreglement gehe als lex specialis der Bauordnung vor, wo es andere Bestimmungen enthalte. Der Beschwerdeführer tut nicht dar, inwiefern diese Auffassung willkürlich sein soll. Demgemäss ist es auch nicht willkürlich, wenn das Verwaltungsgericht davon ausgeht, nach § 20 AR seien nur nicht störende Kleingewerbe zulässig. Selbst wenn auch mässig störende Betriebe zugelassen werden sollten, würde sich im Ergebnis nichts ändern, denn das Verwaltungsgericht hat erwogen, der Betrieb einer Bar würde in den konkreten Verhältnissen besonders störend in Erscheinung treten. Unbehelflich ist der Einwand des Beschwerdeführers, die Bar weise keine Aussenbestuhlung auf, werde nur innerhalb des Gebäudes betrieben und stelle deshalb kein störendes Gewerbe dar. Denn das Verwaltungsgericht hat das Gesuch nicht deshalb abgewiesen, weil der Lärm der Bar selber störend sei, sondern weil das mit dem Betrieb der Bar verbundene lärmige Verhalten der Gäste ausserhalb der Bar störend sei. Der Beschwerdeführer tut nicht dar, inwiefern diese Annahme willkürlich sein soll. Sie entspricht im Gegenteil der allgemeinen Lebenserfahrung.</w:t>
      </w:r>
    </w:p>
    <w:p>
      <w:r>
        <w:t>g) Die Rüge, das Verwaltungsgericht habe das Vorhaben nicht im Lichte der Empfindlichkeitsstufe III gemäss LSV geprüft, ist gleichbedeutend mit der Rüge der Nichtanwendung von Bundesrecht, über die bereits im Rahmen der Verwaltungsgerichtsbeschwerde entschieden worden ist (vgl. oben, E. 2).</w:t>
      </w:r>
    </w:p>
    <w:p>
      <w:r>
        <w:t>h) Mit dem Begriff des öffentlich zugänglichen Lokals hat sich das Verwaltungsgericht auseinander gesetzt (S. 11 des angefochtenen Entscheids) und ist dabei zum Ergebnis gekommen, der Begriff sei im gleichen Sinne zu verstehen wie derjenige des nicht störenden Kleingewerbes. Das kann nicht als willkürlich bezeichnet werden.</w:t>
      </w:r>
    </w:p>
    <w:p>
      <w:r>
        <w:t>i) Schliesslich ist es nicht willkürlich, ein öffentliches Interesse an der fraglichen Bar zu verneinen. Ein Restaurationsbetrieb dient in erster Linie dem privaten Interesse seines Betreibers. Selbst wenn das grundsätzliche Vorhandensein von Bars als öffentliches Interesse zu qualifizieren wäre, so könnte es jedenfalls nicht als willkürlich erscheinen, das öffentliche Interesse an der Wahrung der Nachtruhe als überwiegend zu beurteilen.</w:t>
      </w:r>
    </w:p>
    <w:p>
      <w:r>
        <w:rPr>
          <w:b/>
        </w:rPr>
        <w:t>E. 4</w:t>
      </w:r>
    </w:p>
    <w:p>
      <w:r>
        <w:t>Damit erweisen sich beide Beschwerden als unbegründet und sind abzuweisen. Bei diesem Ausgang des Verfahrens sind die Gerichtskosten dem Beschwerdeführer aufzuerlegen (Art. 156 Abs. 1 in Verbindung mit Art. 153 und Art. 153a OG ). Dieser hat zudem den privaten Beschwerdegegnern für das bundesgerichtliche Verfahren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