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1A.130/2004 vom 6. Juli 2004</w:t>
      </w:r>
    </w:p>
    <w:p>
      <w:r>
        <w:t>Bundesgericht, 2004-07-06, FR</w:t>
      </w:r>
    </w:p>
    <w:p>
      <w:r>
        <w:rPr>
          <w:b/>
        </w:rPr>
        <w:t xml:space="preserve">Quelle: </w:t>
      </w:r>
      <w:r>
        <w:t>https://mcp.opencaselaw.ch/entscheid/bger_1A.130_2004</w:t>
      </w:r>
    </w:p>
    <w:p>
      <w:r>
        <w:t>FR: TF 1A.130/2004 du 6 juillet 2004</w:t>
      </w:r>
    </w:p>
    <w:p>
      <w:r>
        <w:t>IT: TF 1A.130/2004 del 6 luglio 2004</w:t>
      </w:r>
    </w:p>
    <w:p>
      <w:pPr>
        <w:pStyle w:val="Heading2"/>
      </w:pPr>
      <w:r>
        <w:t>Erwägungen</w:t>
      </w:r>
    </w:p>
    <w:p>
      <w:r>
        <w:rPr>
          <w:b/>
        </w:rPr>
        <w:t>E. 1</w:t>
      </w:r>
    </w:p>
    <w:p>
      <w:r>
        <w:t>La Confédération suisse et le Royaume de Norvège sont tous deux parties à la CEEJ, entrée en vigueur le 12 juin 1962 pour la Norvège et le 20 mars 1967 pour la Suisse. Les dispositions de ce traité l'emportent sur le droit autonome qui régit la matière, soit la loi fédérale sur l'entraide internationale en matière pénale, du 20 mars 1981 (EIMP; RS 351.1). Celle-ci reste toutefois applicable lorsqu'elle est plus favorable à l'entraide que le traité, ainsi qu'aux questions que celui-ci ne règle pas, expressément ou implicitement ( ATF 123 II 134 consid. 1a p. 136; 122 II 140 consid. 2 p. 142; 120 Ib 120 consid. 1a p. 122/123, 189 consid. 2a p. 191/192, et les arrêts cités). Le respect des droits fondamentaux est réservé ( ATF 123 II 595 consid. 7c p. 617).</w:t>
      </w:r>
    </w:p>
    <w:p>
      <w:r>
        <w:rPr>
          <w:b/>
        </w:rPr>
        <w:t>E. 2</w:t>
      </w:r>
    </w:p>
    <w:p>
      <w:r>
        <w:t>Le Tribunal fédéral examine d'office et avec une pleine cognition la recevabilité des recours qui lui sont soumis ( ATF 129 I 173 consid. 1 p. 174, 185 consid. 1 p. 188, 337 consid. 1 p. 339, et les arrêts cités).</w:t>
      </w:r>
    </w:p>
    <w:p>
      <w:r>
        <w:rPr>
          <w:b/>
        </w:rPr>
        <w:t>E. 2.1</w:t>
      </w:r>
    </w:p>
    <w:p>
      <w:r>
        <w:t>La voie du recours de droit administratif est ouverte contre la décision confirmant la transmission de la documentation bancaire à l'Etat requérant (cf. art. 25 al. 1 EIMP ).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2.2</w:t>
      </w:r>
    </w:p>
    <w:p>
      <w:r>
        <w:t>Selon l' art. 80h let. b EIMP , a qualité pour agir quiconque est touché personnellement et directement par une mesure d'entraide et a un intérêt digne de protection à ce qu'elle soit annulée ou modifiée. La personne visée par la procédure pénale étrangère peut recourir aux mêmes conditions ( art. 21 al. 3 EIMP ). La jurisprudence reconnaît ainsi la qualité pour agir au titulaire d'un compte bancaire dont les pièces sont saisies ( ATF 130 II 162 consid. 1.1 p. 164; 127 II 198 consid. 2d p. 205; 126 II 258 consid. 2d/aa p. 260, et les arrêts cités), mais la dénie à l'ayant droit économique de ce compte ( ATF 130 II 162 consid. 1.1 p. 164; 122 II 130 consid. 2b p. 132/133), ainsi qu'à l'auteur de documents saisis en mains de tiers ( ATF 130 II 262 consid. 1.1 p. 164; 116 Ib 106 consid. 2a/aa p. 110), et cela même si la transmission de renseignements demandés entraîne la révélation de son identité ( ATF 130 II 162 consid. 1.1 p. 164).</w:t>
      </w:r>
    </w:p>
    <w:p>
      <w:r>
        <w:t>En l'occurrence, les documents litigieux ont été saisis auprès de la Banque E.________. Ils ne se rapportent pas à un compte dont la recourante serait la titulaire. Même s'ils ont pour effet de dévoiler son identité et de porter à la connaissance des autorités norvégiennes le contrat du 26 mars 2003, la recourante ne peut pas faire valoir un intérêt digne de protection au sens de l' art. 80h let. b EIMP pour s'opposer à leur transmission.</w:t>
      </w:r>
    </w:p>
    <w:p>
      <w:r>
        <w:rPr>
          <w:b/>
        </w:rPr>
        <w:t>E. 3</w:t>
      </w:r>
    </w:p>
    <w:p>
      <w:r>
        <w:t>Le recours est ainsi irrecevable. Les frais en sont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