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1A.128/2004 vom 6. Juli 2004</w:t>
      </w:r>
    </w:p>
    <w:p>
      <w:r>
        <w:t>Bundesgericht, 2004-07-06, FR</w:t>
      </w:r>
    </w:p>
    <w:p>
      <w:r>
        <w:rPr>
          <w:b/>
        </w:rPr>
        <w:t xml:space="preserve">Quelle: </w:t>
      </w:r>
      <w:r>
        <w:t>https://mcp.opencaselaw.ch/entscheid/bger_1A.128_2004</w:t>
      </w:r>
    </w:p>
    <w:p>
      <w:r>
        <w:t>FR: TF 1A.128/2004 du 6 juillet 2004</w:t>
      </w:r>
    </w:p>
    <w:p>
      <w:r>
        <w:t>IT: TF 1A.128/2004 del 6 luglio 2004</w:t>
      </w:r>
    </w:p>
    <w:p>
      <w:pPr>
        <w:pStyle w:val="Heading2"/>
      </w:pPr>
      <w:r>
        <w:t>Regeste</w:t>
      </w:r>
    </w:p>
    <w:p>
      <w:r>
        <w:t>Entraide et extradition</w:t>
      </w:r>
    </w:p>
    <w:p>
      <w:pPr>
        <w:pStyle w:val="Heading2"/>
      </w:pPr>
      <w:r>
        <w:t>Erwägungen</w:t>
      </w:r>
    </w:p>
    <w:p>
      <w:r>
        <w:rPr>
          <w:b/>
        </w:rPr>
        <w:t>E. 1</w:t>
      </w:r>
    </w:p>
    <w:p>
      <w:r>
        <w:t>La Confédération suisse et le Royaume de Norvège sont tous deux parties à la CEEJ, entrée en vigueur le 12 juin 1962 pour la Norvège et le 20 mars 1967 pour la Suisse. Les dispositions de ce traité l'emportent sur le droit autonome qui régit la matière, soit la loi fédérale sur l'entraide internationale en matière pénale, du 20 mars 1981 (EIMP; RS 351.1). Celle-ci reste toutefois applicable lorsqu'elle est plus favorable à l'entraide que le traité, ainsi qu'aux questions que celui-ci ne règle pas, expressément ou implicitement ( ATF 123 II 134 consid. 1a p. 136; 122 II 140 consid. 2 p. 142; 120 Ib 120 consid. 1a p. 122/123, 189 consid. 2a p. 191/192, et les arrêts cités). Le respect des droits fondamentaux est réservé ( ATF 123 II 595 consid. 7c p. 617).</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La voie du recours de droit administratif est ouverte contre la décision confirmant la transmission de la documentation bancaire à l'Etat requérant (cf. art. 25 al. 1 EIMP ).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2.2</w:t>
      </w:r>
    </w:p>
    <w:p>
      <w:r>
        <w:t>Le recourant a qualité, au sens de l' art. 80h let. b EIMP , pour s'opposer à la transmission de la documentation relative au compte n°yyy dont il est le titulaire ( ATF 130 II 162 consid. 1.1 p. 164; 127 II 198 consid. 2d p. 205; 126 II 258 consid. 2d/aa p. 260, et les arrêts cités). Il n'est en revanche pas habilité à recourir pour ce qui concerne le compte n°zzz dont H.________ est la titulaire et lui-même seulement l'ayant droit ( ATF 130 II 162 consid. 1.1 p. 164; 122 II 130 consid. 2b p. 132/133).</w:t>
      </w:r>
    </w:p>
    <w:p>
      <w:r>
        <w:rPr>
          <w:b/>
        </w:rPr>
        <w:t>E. 2.3</w:t>
      </w:r>
    </w:p>
    <w:p>
      <w:r>
        <w:t>Dans sa réponse du 18 juin 2004, le Ministère public a défendu le point de vue que dès l'instant où la documentation litigieuse a été saisie auprès d'une société fiduciaire, seule celle-ci, détentrice effective, serait habilitée à agir. L'arrêt dont se prévaut le Ministère public (1A.233/2003 du 19 janvier 2004, ATF 130 II 162 ) à cet égard, exclut la qualité pour agir, sous l'angle de l' art. 80h let. b EIMP , de celui qui entend s'opposer à la remise de documents le concernant, saisis auprès du tiers titulaire du compte bancaire (en l'occurrence une étude d'avocat). Elle n'a pas pour effet de modifier la jurisprudence rappelée ci-dessus, de laquelle il n'y a pas de motif de se départir.</w:t>
      </w:r>
    </w:p>
    <w:p>
      <w:r>
        <w:rPr>
          <w:b/>
        </w:rPr>
        <w:t>E. 3</w:t>
      </w:r>
    </w:p>
    <w:p>
      <w:r>
        <w:t>Le recourant invoque le principe de la proportionnalité.</w:t>
      </w:r>
    </w:p>
    <w:p>
      <w:r>
        <w:rPr>
          <w:b/>
        </w:rPr>
        <w:t>E. 3.1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(arrêt 1A.215/1998 du 7 décembre 1998, consid. 5).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3.2</w:t>
      </w:r>
    </w:p>
    <w:p>
      <w:r>
        <w:t>Les documents concernant le compte n°yyy dont le Ministère public a ordonné la transmission comportent les documents d'ouverture du compte, les indications relatives au client (dossier « Profil client »), un mandat de gestion (« Management Agreement ») confié par B.________ à une société F.________ S.A., ainsi qu'un état de fortune établi au 1er avril 2003. Contrairement à ce que soutient le recourant, ces documents sont utiles à la procédure étrangère. Il est important pour les autorités qui enquêtent sur le sort des fonds versés par T.________ à O.________ d'en connaître les destinataires finals, ainsi que les modalités de leur acheminement. Dans ce contexte, les voies de gestion du compte, fixées avec la banque, ainsi que l'indication des tiers habilités à intervenir dans sa gestion, doivent être portés à la connaissance de l'autorité de poursuite, afin d'éclairer complètement l'arrière-plan de l'affaire. Au demeurant, les représentants d'Oekokrim qui ont participé à l'exécution de la demande d'entraide ont indiqué que ces documents leur étaient nécessaires. Quant aux contrats passés entre les sociétés G.________ S.A. et A.________ Co., ils concernent des tiers qui ne sont pas parties à la présente procédure (cf. cause connexe 1A.130/2004).</w:t>
      </w:r>
    </w:p>
    <w:p>
      <w:r>
        <w:rPr>
          <w:b/>
        </w:rPr>
        <w:t>E. 4</w:t>
      </w:r>
    </w:p>
    <w:p>
      <w:r>
        <w:t>Le recours doit ainsi être rejeté dans la mesure où il est 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