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1A.126/2004 vom 22. Juni 2004</w:t>
      </w:r>
    </w:p>
    <w:p>
      <w:r>
        <w:t>Bundesgericht, 2004-06-22, DE</w:t>
      </w:r>
    </w:p>
    <w:p>
      <w:r>
        <w:rPr>
          <w:b/>
        </w:rPr>
        <w:t xml:space="preserve">Quelle: </w:t>
      </w:r>
      <w:r>
        <w:t>https://mcp.opencaselaw.ch/entscheid/bger_1A.126_2004</w:t>
      </w:r>
    </w:p>
    <w:p>
      <w:r>
        <w:t>FR: TF 1A.126/2004 du 22 juin 2004</w:t>
      </w:r>
    </w:p>
    <w:p>
      <w:r>
        <w:t>IT: TF 1A.126/2004 del 22 giugno 2004</w:t>
      </w:r>
    </w:p>
    <w:p>
      <w:pPr>
        <w:pStyle w:val="Heading2"/>
      </w:pPr>
      <w:r>
        <w:t>Regeste</w:t>
      </w:r>
    </w:p>
    <w:p>
      <w:r>
        <w:t>Rechtshilfe und Auslieferung</w:t>
      </w:r>
    </w:p>
    <w:p>
      <w:pPr>
        <w:pStyle w:val="Heading2"/>
      </w:pPr>
      <w:r>
        <w:t>Erwägungen</w:t>
      </w:r>
    </w:p>
    <w:p>
      <w:r>
        <w:rPr>
          <w:b/>
        </w:rPr>
        <w:t>E. 1</w:t>
      </w:r>
    </w:p>
    <w:p>
      <w:r>
        <w:t>Die Beschwerde wird infolge Gegenstandslosigkeit abgeschrieben.</w:t>
      </w:r>
    </w:p>
    <w:p>
      <w:r>
        <w:rPr>
          <w:b/>
        </w:rPr>
        <w:t>E. 2</w:t>
      </w:r>
    </w:p>
    <w:p>
      <w:r>
        <w:t>Es werden keine Kosten erhoben und keine Parteientschädigungen zugesprochen.</w:t>
      </w:r>
    </w:p>
    <w:p>
      <w:r>
        <w:rPr>
          <w:b/>
        </w:rPr>
        <w:t>E. 3</w:t>
      </w:r>
    </w:p>
    <w:p>
      <w:r>
        <w:t>Dieser Beschluss wird dem Beschwerdeführer, dem Bundesamt für Justiz, Abteilung Internationale Rechtshilfe, Sektion Auslieferung, und dem Bundesstrafgericht, Präsident der Beschwerdekammer, schriftlich mitgeteilt. Lausanne, 22. Juni 2004 Im Namen der I. öffentlichrechtlichen 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