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1A.125/2006 vom 10. August 2006</w:t>
      </w:r>
    </w:p>
    <w:p>
      <w:r>
        <w:t>Bundesgericht, 2006-08-10, DE</w:t>
      </w:r>
    </w:p>
    <w:p>
      <w:r>
        <w:rPr>
          <w:b/>
        </w:rPr>
        <w:t xml:space="preserve">Quelle: </w:t>
      </w:r>
      <w:r>
        <w:t>https://mcp.opencaselaw.ch/entscheid/bger_1A.125_2006</w:t>
      </w:r>
    </w:p>
    <w:p>
      <w:r>
        <w:t>FR: TF 1A.125/2006 du 10 août 2006</w:t>
      </w:r>
    </w:p>
    <w:p>
      <w:r>
        <w:t>IT: TF 1A.125/2006 del 10 agosto 2006</w:t>
      </w:r>
    </w:p>
    <w:p>
      <w:pPr>
        <w:pStyle w:val="Heading2"/>
      </w:pPr>
      <w:r>
        <w:t>Regeste</w:t>
      </w:r>
    </w:p>
    <w:p>
      <w:r>
        <w:t>Internationale Rechtshilfe in Strafsachen für die Russische Föderation - B 139647 / BF / Reu | Rechtshilfe und Auslieferung</w:t>
      </w:r>
    </w:p>
    <w:p>
      <w:pPr>
        <w:pStyle w:val="Heading2"/>
      </w:pPr>
      <w:r>
        <w:t>Erwägungen</w:t>
      </w:r>
    </w:p>
    <w:p>
      <w:r>
        <w:rPr>
          <w:b/>
        </w:rPr>
        <w:t>E. 1</w:t>
      </w:r>
    </w:p>
    <w:p>
      <w:r>
        <w:t>Für die akzessorische Rechtshilfe zwischen der Russischen Föderation und der Schweiz sind in erster Linie die Bestimmungen des Europäischen Übereinkommens über die Rechtshilfe in Strafsachen vom 20. April 1959 (EUeR, SR 0.351.1) massgebend, dem beide Staaten beigetreten sind. Soweit das internationale Staatsvertragsrecht bestimmte Fragen nicht abschliessend regelt, gelangt das schweizerische Landesrecht (namentlich das Bundesgesetz über internationale Rechtshilfe in Strafsachen vom 20. März 1981 [IRSG, SR 351.1] und die dazugehörende Verordnung [IRSV, SR 351.11]) zur Anwendung (vgl. Art. 1 Abs. 1 IRSG ). Das innerstaatliche Recht gilt (nach dem "Günstigkeitsprinzip") namentlich dann, wenn sich daraus eine weitergehende Rechtshilfe ergibt ( BGE 129 II 462 E. 1.1 S. 464; 122 II 140 E. 2 S. 142, je mit Hinweisen).</w:t>
      </w:r>
    </w:p>
    <w:p>
      <w:r>
        <w:rPr>
          <w:b/>
        </w:rPr>
        <w:t>E. 1.1</w:t>
      </w:r>
    </w:p>
    <w:p>
      <w:r>
        <w:t>Beim angefochtenen Beschluss des Obergerichtes handelt es sich um einen letztinstanzlichen kantonalen Entscheid über eine Schlussverfügung (im Sinne von Art. 80d IRSG ), gegen den die Verwaltungsgerichtsbeschwerde gegeben ist ( Art. 80f Abs. 1 IRSG ).</w:t>
      </w:r>
    </w:p>
    <w:p>
      <w:r>
        <w:rPr>
          <w:b/>
        </w:rPr>
        <w:t>E. 1.2</w:t>
      </w:r>
    </w:p>
    <w:p>
      <w:r>
        <w:t>Als Inhaberin des betroffenen Bankkontos und der sichergestellten Geschäftsunterlagen ist die Beschwerdeführerin zur Prozessführung legitimiert (vgl. Art. 80h lit. b IRSG i.V.m. Art. 9a lit. a IRSV ).</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w:t>
      </w:r>
    </w:p>
    <w:p>
      <w:r>
        <w:rPr>
          <w:b/>
        </w:rPr>
        <w:t>E. 1.4</w:t>
      </w:r>
    </w:p>
    <w:p>
      <w:r>
        <w:t>Das Bundesgericht ist an die Begehren der Parteien nicht gebunden ( Art. 25 Abs. 6 IRSG ). Im Rahmen der Verwaltungsgerichtsbeschwerde prüft es jedoch grundsätzlich nur Rechtshilfevoraussetzungen, die Streitgegenstand der Beschwerde bilden (vgl. BGE 132 II 81 E. 1.4 S. 84 mit Hinweisen).</w:t>
      </w:r>
    </w:p>
    <w:p>
      <w:r>
        <w:rPr>
          <w:b/>
        </w:rPr>
        <w:t>E. 2</w:t>
      </w:r>
    </w:p>
    <w:p>
      <w:r>
        <w:t>Die Beschwerdeführerin beanstandet, das Ersuchen (bzw. dessen Übersetzung ins Deutsche) enthalte "Mängel und Lücken". Die Sachdarstellung der ersuchenden Behörde sei "in keiner Weise verständlich oder nachvollziehbar". Ausserdem sei das Rechtshilfeerfordernis der beidseitigen Strafbarkeit nicht erfüllt.</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Der Rechtshilferichter prüft, ob der im Ausland verübte inkriminierte Sachverhalt, sofern er - analog - in der Schweiz begangen worden wäre, die Tatbestandsmerkmale einer schweizerischen Strafnorm erfüllen würde (vgl. BGE 132 II 81 E. 2.7.2 S. 90 f.; 129 II 462 E. 4.4 S. 465; 118 Ib 543 E. 3b/aa S. 546; Peter Popp, Grundzüge der internationalen Rechtshilfe in Strafsachen, Basel 2001, Rz. 237 f.; Robert Zimmermann, La coopération judiciaire internationale en matière pénale, 2. Aufl., Bern 2004, Rz. 357 f.). Die Strafnormen brauchen nach den Rechtssystemen der Schweiz und des ersuchenden Staates nicht identisch zu sein (vgl. BGE 132 II 81 E. 2.1 S. 84; 113 Ib 72 E. 4b S. 76, je mit Hinweisen). Das Ersuchen hat die mutmassliche strafbare Handlung zu bezeichnen und eine kurze Darstellung des Sachverhaltes zu enthalten. Die Bewilligung internationaler Rechtshilfe setzt voraus, dass sich aus der Sachdarstellung des Ersuchens hinreichende Verdachtsmomente für den untersuchten deliktischen Vorwurf ergeben (vgl. Art. 14 Ziff. 1-2 EUeR ). Von den Behörden des ersuchenden Staates kann jedoch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EUeR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w:t>
      </w:r>
    </w:p>
    <w:p>
      <w:r>
        <w:rPr>
          <w:b/>
        </w:rPr>
        <w:t>E. 2.2</w:t>
      </w:r>
    </w:p>
    <w:p>
      <w:r>
        <w:t>Im angefochtenen Entscheid wird erwogen, dass die deutsche Übersetzung des Rechtshilfeersuchens zwar "weder orthographisch noch stilistisch fehlerfrei" sei. Die ersuchende Behörde beschreibe jedoch "den Sachverhalt, der Gegenstand der von ihr geführten Untersuchung bildet, hinreichend genau". Es sei "Ziel der russischen Untersuchung, abzuklären, ob und auf welche Weise" der mutmasslich geschädigten Gesellschaft "Vermögenswerte ungerechtfertigt entzogen worden" und wie diese an die Beschwerdeführerin "geflossen sind". Die Sachdarstellung des Ersuchens wird im angefochtenen Entscheid wie folgt zusammengefasst: "Gemäss ersuchender Behörde besteht der Verdacht", dass zwei Angeschuldigte einer russischen Brauerei "und deren Aktionären Vermögenswerte entzogen" und an die von einem der Angeschuldigten "beherrschte" Beschwerdeführerin "übereignet" haben. "Der Unternehmensbereich" der mutmasslich geschädigten Brauerei sei "1998 vollumfänglich" in eine "neue Gesellschaft eingebracht worden, wobei" die betroffene Brauerei "als reine Holding weiter bestanden habe und die Mitarbeiter und Rentner" dieser Holding "weiterhin deren Aktien gehalten hätten". Einer der Angeschuldigten sei von 1996 bis 2000 "Vorsitzender des Direktorenrates" der geschädigten Brauerei gewesen, ab 1998 auch "Generaldirektor" der neuen Gesellschaft. Beim zweiten Angeschuldigten handle es sich um den "Generaldirektor" der geschädigten Brauerei "von 2000 bis 2002" sowie "ab 1997" um den "Leiter der juristischen Abteilung und administrativen Direktor" der neuen Gesellschaft. Die Angeschuldigten hätten "ohne ersichtlichen wirtschaftlichen Grund die Marke" der neuen Gesellschaft und später auch deren "Aktien" in eine dritte Firma "eingebracht", welche 1998 in die Beschwerdeführerin "umfirmiert" worden sei. "Alle Gewinne der Brauerei" seien auf diese Weise auf Konten der dritten Firma bzw. der Beschwerdeführerin geflossen. "Später" sei noch eine vierte Firma "als Tochter" der Beschwerdeführerin "gegründet" worden; "in diese" sei "die Liegenschaft der Brauerei eingebracht und zurückverpachtet worden."</w:t>
      </w:r>
    </w:p>
    <w:p>
      <w:r>
        <w:rPr>
          <w:b/>
        </w:rPr>
        <w:t>E. 2.3</w:t>
      </w:r>
    </w:p>
    <w:p>
      <w:r>
        <w:t>Diese Sachdarstellung entspricht den Anforderungen von Art. 14 EUeR . Der angefochtene Entscheid enthält diesbezüglich keine offensichtlich unzutreffenden tatsächlichen Erwägungen.</w:t>
      </w:r>
    </w:p>
    <w:p>
      <w:r>
        <w:rPr>
          <w:b/>
        </w:rPr>
        <w:t>E. 2.4</w:t>
      </w:r>
    </w:p>
    <w:p>
      <w:r>
        <w:t>Die Beschwerdeführerin rügt in diesem Zusammenhang eine Verletzung des rechtlichen Gehörs, da das Ersuchen "mangelhaft begründet" sei. Wie dargelegt, genügt die Sachdarstellung des Ersuchens den Anforderungen des EUeR. Ebenso liegt eine Übersetzung des Ersuchens ins Deutsche vor (vgl. Art. 16 Ziff. 2 EUeR [mit entsprechender förmlicher Erklärung der Schweiz]; Art. 28 Abs. 5 IRSG ). Selbst wenn die Übersetzung des Ersuchens als sprachlich teilweise mangelhaft zu bezeichnen wäre, wie die Beschwerdeführerin es geltend macht (und wie auch das Obergericht einräumt), wäre die gerügte Verletzung des rechtlichen Gehörs als "geheilt" anzusehen, da spätestens der angefochtene Entscheid (auf den Seiten 4-5) eine verständliche Zusammenfassung der Sachdarstellung des Ersuchens enthielt.</w:t>
      </w:r>
    </w:p>
    <w:p>
      <w:r>
        <w:rPr>
          <w:b/>
        </w:rPr>
        <w:t>E. 2.5</w:t>
      </w:r>
    </w:p>
    <w:p>
      <w:r>
        <w:t>Nach dem sogenannten "Treuebruchstatbestand" der ungetreuen Geschäftsbesorgung ( Art. 158 Ziff. 1 Abs. 1 StGB ) wird mit Gefängnis bestraft, wer aufgrund des Gesetzes oder eines Rechtsgeschäfts damit betraut ist, Vermögen eines andern zu verwalten, und dabei unter Verletzung seiner Pflichten bewirkt oder zulässt, dass der andere am Vermögen geschädigt wird. Handelt der Täter in der Absicht, sich (oder einen andern) unrechtmässig zu bereichern, kann auf Zuchthaus bis zu fünf Jahren erkannt werden ( Art. 158 Ziff. 1 Abs. 3 StGB ). Nach herrschender Lehre und Praxis ist der Tatbestand des Treuebruchs namentlich auf selbstständige Geschäftsführer (sowie auf operationell leitende Organe) von juristischen Personen bzw. Kapitalgesellschaften anwendbar. Dazu gehören namentlich auch faktische geschäftsführende Organe (vgl. BGE 123 IV 17 E. 3b S. 21; 105 IV 106 E. 2 S. 109 f.; 100 IV 113 f.; 97 IV 10 E. 2 S. 14; Marcel A. Niggli, in: Basler Kommentar StGB, Bd. II, Basel 2003, Art. 158 StGB N. 10 ff., 20; Günter Stratenwerth/Guido Jenny, Schweizerisches Strafrecht, Besonderer Teil I, 6. Aufl., Bern 2003, § 19 Rz. 5 ff., 10).</w:t>
      </w:r>
    </w:p>
    <w:p>
      <w:r>
        <w:rPr>
          <w:b/>
        </w:rPr>
        <w:t>E. 2.6</w:t>
      </w:r>
    </w:p>
    <w:p>
      <w:r>
        <w:t>Den Angeschuldigten wird im Wesentlichen vorgeworfen, sie hätten als Organe und Geschäftsführer einer Brauerei diese wirtschaftlich ausgehöhlt und geschädigt, indem sie der Gesellschaft systematisch Vermögenswerte bzw. Gewinne entzogen und an dritte Firmen, darunter die Beschwerdeführerin, übertragen hätten. Letztere werde von einem der Angeschuldigten "beherrscht". Der im Ersuchen dargelegte Sachverhalt fiele im Falle einer strafrechtlichen Verurteilung nach schweizerischem Recht grundsätzlich ("prima facie") unter den Tatbestand der ungetreuen Geschäftsbesorgung.</w:t>
      </w:r>
    </w:p>
    <w:p>
      <w:r>
        <w:rPr>
          <w:b/>
        </w:rPr>
        <w:t>E. 2.7</w:t>
      </w:r>
    </w:p>
    <w:p>
      <w:r>
        <w:t>Was die Beschwerdeführerin dagegen vorbringt, vermag die im Ersuchen dargelegten Verdachtsgründe nicht zu entkräften. Soweit sie die Sachdarstellung des Ersuchens lediglich bestreitet, wird kein Rechtshilfehindernis begründet. Zwar macht die Beschwerdeführerin geltend, dass ihrer Ansicht nach "weder der Tatbestand des Betruges nach Art. 146 StGB noch der Tatbestand der Veruntreuung nach Art. 138 StGB erfüllt" sei. Sie legt jedoch nicht dar, inwiefern der Tatbestand der ungetreuen Geschäftsbesorgung ( Art. 158 StGB , der auch im angefochtenen Entscheid auf Seite 7 erwähnt wird) ausser Betracht fiele.</w:t>
      </w:r>
    </w:p>
    <w:p>
      <w:r>
        <w:rPr>
          <w:b/>
        </w:rPr>
        <w:t>E. 2.8</w:t>
      </w:r>
    </w:p>
    <w:p>
      <w:r>
        <w:t>Wie im Ersuchen und dessen Beilagen erwähnt wird, ist der inkriminierte Sachverhalt auch nach dem Recht des ersuchenden Staates strafbar. Damit ist das Rechtshilfeerfordernis der beidseitigen Strafbarkeit ( Art. 5 Ziff. 1 lit. a EUeR ) grundsätzlich gegeben. Es kann offen bleiben, ob noch weitere Straftatbestände des schweizerischen Rechtes erfüllt sein könnten. Fragen der Strafbarkeit nach ausländischem Recht sind nicht vom Rechtshilferichter zu prüfen, sondern (im Falle einer Anklageerhebung) vom erkennenden Strafgericht (vgl. BGE 116 Ib 89 E. 3c/aa S. 94 mit Hinweisen).</w:t>
      </w:r>
    </w:p>
    <w:p>
      <w:r>
        <w:rPr>
          <w:b/>
        </w:rPr>
        <w:t>E. 2.9</w:t>
      </w:r>
    </w:p>
    <w:p>
      <w:r>
        <w:t>Die Beschwerdeführerin vertritt den Standpunkt, der angefochtene Entscheid enthalte "in Bezug auf die erforderliche beidseitige Strafbarkeit" keine "nachvollziehbare Begründung". Darin beanstandet sie erneut eine Verletzung des rechtlichen Gehörs. Die Rüge erweist sich als unbegründet. Im angefochtenen Entscheid wird zunächst die Sachdarstellung des Ersuchens zusammengefasst. In der Folge wird ausreichend dargelegt, inwiefern das Rechtshilfeerfordernis der beidseitigen Strafbarkeit gegeben sei. In diesem Zusammenhang wird (in der Eventualbegründung) namentlich auch der Tatbestand der ungetreuen Geschäftsbesorgung ( Art. 158 StGB ) als grundsätzlich erfüllt bezeichnet (vgl. angefochtener Entscheid, S. 4-7).</w:t>
      </w:r>
    </w:p>
    <w:p>
      <w:r>
        <w:rPr>
          <w:b/>
        </w:rPr>
        <w:t>E. 3</w:t>
      </w:r>
    </w:p>
    <w:p>
      <w:r>
        <w:t>Die Beschwerdeführerin macht weiter geltend, die bewilligte Rechtshilfe sei unverhältnismässig bzw. das Ersuchen beruhe auf einer unzulässigen Beweisausforschung. Sie beantragt im Eventualstandpunkt, die Rechtshilfe sei "insoweit zu verweigern", als die fraglichen Geschäfts- und Bankunterlagen "keinen sachlichen Zusammenhang bzw. keine Konnexität zum ausländischen Strafverfahren aufweisen".</w:t>
      </w:r>
    </w:p>
    <w:p>
      <w:r>
        <w:rPr>
          <w:b/>
        </w:rPr>
        <w:t>E. 3.1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 2c S. 371; 121 II 241 E. 3a S. 242 f., je mit Hinweisen). 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 BGE 122 II 367 E. 2c S. 371). Im Verfahren der Verwaltungsgerichtsbeschwerde forscht das Bundesgericht jedoch nicht von sich aus nach Aktenstücken, die im ausländischen Verfahren (mit Sicherheit) nicht erheblich sein könnten. Es obliegt dem Betroffenen, schon im kantonalen Verfahren gegenüber der ausführenden Behörde konkret darzulegen, welche einzelnen Aktenstücke (bzw. welche Passagen daraus) für die Strafuntersuchung offensichtlich entbehrlich seien, und diese Auffassung auch zu begründen. Dies gilt besonders bei einer komplexen Untersuchung mit zahlreichen Akten (vgl. BGE 130 II 14 E. 4.3 S. 16 f.; 126 II 258 E. 9b/aa S. 262; 122 II 367 E. 2d S. 372, je mit Hinweisen).</w:t>
      </w:r>
    </w:p>
    <w:p>
      <w:r>
        <w:rPr>
          <w:b/>
        </w:rPr>
        <w:t>E. 3.2</w:t>
      </w:r>
    </w:p>
    <w:p>
      <w:r>
        <w:t>Gemäss Ersuchen besteht der Verdacht, dass die Angeschuldigten deliktisch erlangtes Vermögen an die Beschwerdeführerin übertragen bzw. auf deren Konto transferiert hätten; sie werde von einem der Angeschuldigten faktisch bzw. wirtschaftlich "beherrscht". Die Beschwerdeführerin macht geltend, "zahlreiche Überweisungen" seien vom fraglichen Konto "an offensichtlich unbeteiligte Drittpersonen" erfolgt. Die betreffenden Bankbelege stünden "nicht im Zusammenhang mit dem russischen Strafverfahren". Dem ist entgegen zu halten, dass die ersuchende Behörde ein sachbezogenes Interesse an der Frage hat, welche Guthaben auf das Konto geflossen sind und an wen sie weitertransferiert wurden. Für die Strafuntersuchung sind jedenfalls nicht nur Finanztransaktionen mit denjenigen Personen oder Firmen relevant, die in die mutmasslichen Straftaten involviert bzw. bereits im Ersuchen genannt worden sind. Was die sichergestellten Geschäftsunterlagen betrifft, wendet die Beschwerdeführerin ein, ihrem "E-Mailverkehr" komme "keine Beweiskraft zu". Auch dies begründet kein Rechtshilfehindernis, zumal es Sache der zuständigen Untersuchungsbehörde bzw. des erkennenden Strafgerichts sein wird, über strafprozessuale Fragen der Beweiseignung zu entscheiden. Im Übrigen macht die Beschwerdeführerin zwar geltend, die beschlagnahmten Unterlagen, welche "rund acht Bundesordner" umfassten, seien "offensichtlich schon zum Teil" im Besitz der ersuchenden Behörde. Sie legt jedoch nicht im Einzelnen dar, welche konkreten Unterlagen für die hängige Strafuntersuchung offensichtlich unerheblich seien. Nach dem Gesagten besteht ein ausreichender Sachzusammenhang zwischen den fraglichen Unterlagen und dem Gegenstand der Strafuntersuchung.</w:t>
      </w:r>
    </w:p>
    <w:p>
      <w:r>
        <w:rPr>
          <w:b/>
        </w:rPr>
        <w:t>E. 4</w:t>
      </w:r>
    </w:p>
    <w:p>
      <w:r>
        <w:t>Die Beschwerde richtet sich ausdrücklich gegen den angefochtenen Entscheid des Obergerichtes. Eher beiläufig kritisiert die Beschwerdeführerin auch noch die "Eintretens- und Zwischenverfügung" der BAK IV vom 11. April 2003. Zwar hat die Beschwerdeführerin gegen diese (grundsätzlich mitanfechtbare) Zwischenverfügung keinerlei Beschwerdeanträge bzw. Rechtsbegehren formuliert. Es kann jedoch offen bleiben, ob insofern auf die betreffenden Rügen überhaupt eingetreten werden könnte, da sie jedenfalls unbegründet sind. Die Beschwerde beschränkt sich auf den Vorwurf, dass die oben erörterten Einwände schon in der Zwischenverfügung "nicht berücksichtigt" worden seien. Insoweit kann auf die obigen Erwägungen verwiesen werden.</w:t>
      </w:r>
    </w:p>
    <w:p>
      <w:r>
        <w:rPr>
          <w:b/>
        </w:rPr>
        <w:t>E. 5</w:t>
      </w:r>
    </w:p>
    <w:p>
      <w:r>
        <w:t>Die übrigen Vorbringen der Beschwerdeführerin begründen ebenfalls kein Rechtshilfehindernis. Zusammenfassend ergibt sich, dass die Beschwerde abzuweisen ist, soweit darauf eingetreten werden kann. Gemäss dem Ausgang des Verfahrens sind die Gerichts- und Parteikosten von der Beschwerdeführerin zu tragen ( Art. 156 Abs. 1 und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