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1A.123/2006 vom 28. August 2006</w:t>
      </w:r>
    </w:p>
    <w:p>
      <w:r>
        <w:t>Bundesgericht, 2006-08-28, DE</w:t>
      </w:r>
    </w:p>
    <w:p>
      <w:r>
        <w:rPr>
          <w:b/>
        </w:rPr>
        <w:t xml:space="preserve">Quelle: </w:t>
      </w:r>
      <w:r>
        <w:t>https://mcp.opencaselaw.ch/entscheid/bger_1A.123_2006</w:t>
      </w:r>
    </w:p>
    <w:p>
      <w:r>
        <w:t>FR: TF 1A.123/2006 du 28 août 2006</w:t>
      </w:r>
    </w:p>
    <w:p>
      <w:r>
        <w:t>IT: TF 1A.123/2006 del 28 agosto 2006</w:t>
      </w:r>
    </w:p>
    <w:p>
      <w:pPr>
        <w:pStyle w:val="Heading2"/>
      </w:pPr>
      <w:r>
        <w:t>Regeste</w:t>
      </w:r>
    </w:p>
    <w:p>
      <w:r>
        <w:t>internationale Rechtshilfe in Strafsachen an Deutschland - BA/RIZ/3/05/0059 - BJ B 157704 SIV | Rechtshilfe und Auslieferung</w:t>
      </w:r>
    </w:p>
    <w:p>
      <w:pPr>
        <w:pStyle w:val="Heading2"/>
      </w:pPr>
      <w:r>
        <w:t>Erwägungen</w:t>
      </w:r>
    </w:p>
    <w:p>
      <w:r>
        <w:rPr>
          <w:b/>
        </w:rPr>
        <w:t>E. 2.1</w:t>
      </w:r>
    </w:p>
    <w:p>
      <w:r>
        <w:t>Die Beschwerdeführer rügen (S. 7 f.) eine Verletzung ihres Anspruchs auf rechtliches Gehör. Sie bringen dazu zunächst vor, die Bundesanwaltschaft habe ihrem Vertreter vor der Schlussverfügung einen Ordner zugestellt, der die Dokumente enthalte, die Gegenstand der Rechtshilfeleistung bildeten. Diesbezüglich bestehe kein Grund zur Klage. Die unkomplizierte Vorgehensweise der Bundesanwaltschaft sei vielmehr zu begrüssen. Nach der Schlussverfügung sollen der ersuchenden Behörde jedoch auch die Protokolle der Einvernahmen des Beschwerdeführers 1 herausgegeben werden. Darin hätten die Beschwerdeführer vor der Schlussverfügung keine Einsicht erhalten. Wie es sich damit im Einzelnen verhält, kann offen bleiben. Eine Verletzung des Anspruchs auf rechtliches Gehör ist - entgegen der Auffassung der Beschwerdeführer (S. 8 Ziff. 24) - im Verfahren der Verwaltungsgerichtsbeschwerde heilbar ( BGE 124 II 132 E. 2d S. 138 f., 117 Ib 64 E. 4 S. 87, mit Hinweisen; Robert Zimmermann, La coopération judiciaire internationale en matière pénale, 2. Aufl., Bern 2004, S. 307). Die Beschwerdeführer wussten jedenfalls aufgrund der Schlussverfügung, dass auch die Protokolle der Einvernahmen des Beschwerdeführers 1 vom 16. März sowie 16. und 27. Juni 2005 an die ersuchende Behörde herausgegeben werden sollen. Sie hatten Gelegenheit, sich in der Verwaltungsgerichtsbeschwerde zur Rechtshilfe umfassend zu äussern. Dies gilt auch in Bezug auf die Herausgabe der Einvernahmeprotokolle. Da der Beschwerdeführer 1 einvernommen wurde, weiss er, worum es dabei ging. Eine Verletzung des Anspruchs auf rechtliches Gehör wäre somit im Verfahren der Verwaltungsgerichtsbeschwerde jedenfalls geheilt worden. Die Beschwerde ist im vorliegenden Punkt unbehelflich.</w:t>
      </w:r>
    </w:p>
    <w:p>
      <w:r>
        <w:rPr>
          <w:b/>
        </w:rPr>
        <w:t>E. 2.2.1</w:t>
      </w:r>
    </w:p>
    <w:p>
      <w:r>
        <w:t>Die Beschwerdeführer bringen weiter vor, Ziffer 2 des Dispositivs der Schlussverfügung stimme nicht vollständig mit den ihnen im Rahmen der Akteneinsicht zur Verfügung gestellten Unterlagen überein. Dies zeige sich schon bei der Nummerierung (Reihenfolge) und Bezeichnung der Abgriffe. Alsdann seien aber auch die Inhalte der einzelnen Abgriffe nicht deckungsgleich. So sei etwa in der Schlussverfügung von 7 Seiten Rechnungstexte und 3 Rechnungen die Rede (Abgriff 5), wo die zur Verfügung gestellte Dokumentation lediglich 5 Seiten (und zwei Rechnungen) enthalte. Weiter sei nicht erkennbar, ob die Inhalte in Abgriff 4 und 5 gemäss Schlussverfügung (56 bzw. 63 Seiten) so auch den Beschwerdeführern zur Kenntnis gebracht worden seien. Die Seitenzahlen stimmten in keiner Weise mit den Unterlagen überein, welche die Beschwerdeführer zur Einsicht erhalten hätten. Sie hätten Anspruch auf Einsicht genau in die Akten, die nach Deutschland übermittelt werden sollen. Alles andere begründe eine Verletzung des rechtlichen Gehörs.</w:t>
      </w:r>
    </w:p>
    <w:p>
      <w:r>
        <w:rPr>
          <w:b/>
        </w:rPr>
        <w:t>E. 2.2.2</w:t>
      </w:r>
    </w:p>
    <w:p>
      <w:r>
        <w:t>Die Bundesanwaltschaft hat den Beschwerdeführern einen grauen Ordner mit den Unterlagen, die an die ersuchende Behörde herausgegeben werden sollten, zur Einsichtnahme zugestellt. Er befindet sich in Beschwerdebeilage 7. Die Bundesanwaltschaft räumt in der Vernehmlassung ein, dass nicht alle Abgriffe des den Beschwerdeführern zugestellten Ordners mit den in der Schlussverfügung aufgeführten Abgriffen übereinstimmen; es handle sich diesbezüglich zugegebenermassen um einen administrativen Fehler beim Ablegen der Unterlagen, wobei lediglich die Reihenfolge der Abgriffe etwas geändert worden sei. Die Bundesanwaltschaft hat dazu in der Vernehmlassung eine Tabelle erstellt, welche die Ablage gemäss Schlussverfügung einerseits und jene gemäss Akteneinsicht anderseits wiedergibt. Überprüft man diese Tabelle, so ergibt sich, dass die Beschwerdeführer Einsicht in sämtliche bei den Beschlagnahmen erhobenen Unterlagen erhielten, die der ersuchenden Behörde nach der Schlussverfügung herausgegeben werden. So sind insbesondere die in der Schlussverfügung aufgeführten 3 Rechnungen der Z.________ GmbH an die Beschwerdeführerin 2 im Zeitraum vom 24. Oktober 2002 bis 26. Juli 2004 (insgesamt 7 Seiten) in dem den Beschwerdeführern zugestellten Ordner enthalten einerseits in Abgriff 4 (5 Seiten) und anderseits in Abgriff 5 (2 Seiten). Abgriff 4 der Schlussverfügung (56 Seiten) sodann entspricht in dem den Beschwerdeführern zugestellten Ordner Abgriff 3. Die Unterlagen in Abgriff 5 gemäss Schlussverfügung (63 Seiten) sind enthalten in Abgriff 5 des den Beschwerdeführern zugestellten Ordners. Aus Abgriff 5 des den Beschwerdeführers übermittelteten Ordners hat die Bundesanwaltschaft jedoch nach einer zweiten Sichtung verschiedene Unterlagen entfernt (in der in der Vernehmlassung enthaltenen Tabelle fett hervorgehoben), weil diese bereits in anderen Abgriffen in Kopie vorhanden waren oder als nicht rechtshilferelevant beurteilt wurden. Eine Verletzung des rechtlichen Gehörs ist somit auch in diesem Punkt zu verneinen. Einzuräumen ist allerdings, dass die Bundesanwaltschaft durch den von ihr zugegebenen administrativen Fehler bei der Ablage der herauszugebenden Unterlagen die Übersicht erschwert hat. Die Beschwerdeführer konnten sich daher im vorliegenden Punkt zur Beschwerde veranlasst sehen. Dies wird beim Kostenentscheid zu berücksichtigen sein.</w:t>
      </w:r>
    </w:p>
    <w:p>
      <w:r>
        <w:rPr>
          <w:b/>
        </w:rPr>
        <w:t>E. 3.1</w:t>
      </w:r>
    </w:p>
    <w:p>
      <w:r>
        <w:t>Die Beschwerdeführer machen geltend, die Ausfuhren der Beschwerdeführerin 2 in die Dominikanische Republik seien mit Bewilligung des Staatssekretariats für Wirtschaft (seco) erfolgt. Daher fehle es insoweit am Erfordernis der doppelten Strafbarkeit.</w:t>
      </w:r>
    </w:p>
    <w:p>
      <w:r>
        <w:rPr>
          <w:b/>
        </w:rPr>
        <w:t>E. 3.2</w:t>
      </w:r>
    </w:p>
    <w:p>
      <w:r>
        <w:t>Gemäss dem aufgrund des entsprechenden schweizerischen Vorbehaltes anwendbaren Art. 5 Abs. 1 lit. a EUeR setzt die Erledigung von Rechtshilfeersuchen um Durchsuchung oder Beschlagnahme von Gegenständen voraus, dass die dem Rechtshilfeersuchen zugrunde liegende strafbare Handlung sowohl nach dem Recht des ersuchenden Staates als auch nach dem des ersuchten Staates strafbar ist. Die Prüfung der Strafbarkeit nach schweizerischem Recht umfasst in analoger Anwendung von Art. 35 Abs. 2 IRSG die objektiven Tatbestandsmerkmale, unter Ausschluss der besonderen Schuldformen und Strafbarkeitsbedingungen des schweizerischen Rechts ( BGE 124 II 184 E. 4b; 122 II 422 E. 2a; 118 Ib 448 E. 3a mit Hinweisen). Selbst in der Beziehung mit Staaten, die mit der Schweiz durch das EUeR verbunden sind, und entgegen dem Eindruck, den der Wortlaut des Vorbehaltes zu Art. 5 Abs. 1 lit. a EUeR erwecken könnte, beschränkt sich die Schweizer Behörde auf die Prüfung der Strafbarkeit nach schweizerischem Recht; ob die im ersuchenden Staat verfolgte Tat überdies nach dem Recht jenes Staates strafbar sei, hat sie nicht zu prüfen ( BGE 116 Ib 89 E. 3c/aa mit Hinweisen; vgl. auch BGE 124 II 184 E. 4b). Davon wird nur abgewichen, wenn sich aus dem Ersuchen klar ergibt, dass die verfolgten Taten im ersuchenden Staat offensichtlich nicht strafbar sind, und deshalb das Ersuchen als missbräuchlich erscheint (vgl. Zimmermann, a.a.O., S. 396 N. 349). Es ist nicht erforderlich, dass die im Ersuchen geschilderten Handlungen in den Gesetzgebungen der beiden Staaten die gleiche rechtliche Qualifikation erfahren, dass sie denselben Strafbarkeitsvoraussetzungen unterliegen oder mit gleichwertigen Strafen bedroht sind. Es genügt, dass die Handlungen in beiden Staaten Straftaten darstellen, die üblicherweise zu internationaler Zusammenarbeit Anlass geben ( BGE 124 II 184 E. 4b/cc; 117 Ib 337 E. 4a; 112 Ib 225 E. 3c mit Hinweisen). Nach der Rechtsprechung hat sich die ersuchte Behörde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 BGE 118 Ib 111 E. 5b; 117 Ib 64 E. 5c mit Hinweisen).</w:t>
      </w:r>
    </w:p>
    <w:p>
      <w:r>
        <w:rPr>
          <w:b/>
        </w:rPr>
        <w:t>E. 3.3</w:t>
      </w:r>
    </w:p>
    <w:p>
      <w:r>
        <w:t>Fehler, Lücken oder Widersprüche, welche den geschilderten Sachverhalt sofort entkräfteten, enthält das Rechtshilfeersuchen der Staatsanwaltschaft Ulm nicht. Die schweizerischen Behörden sind deshalb daran gebunden. Soweit die Beschwerdeführer geltend machen, die Ausfuhren der Beschwerdeführerin 2 in die Dominikanische Republik seien mit Bewilligung des Staatssekretariats für Wirtschaft erfolgt, berufen sie sich auf einen Sachverhalt, der im Rechtshilfeersuchen keine Stütze findet. Auf die Beschwerde ist daher insoweit nicht einzutreten. Im Übrigen geht es nicht darum, wieweit sich der Beschwerdeführer 1 oder F.________ für den im schweizerischen Strafverfahren zu untersuchenden Sachverhalt nach hiesigem Recht strafbar gemacht haben. Dies wird im schweizerischen Strafverfahren zu klären sein. Es geht vielmehr darum, ob sich die im deutschen Verfahren Angeschuldigten nach schweizerischem Recht strafbar gemacht hätten, wenn sie die im Rechtshilfeersuchen geschilderten Taten in der Schweiz begangen hätten ( BGE 124 II 184 E. 4b/cc S. 188, 118 Ib 543 E. 3b/aa S. 546; Zimmermann, a.a.O., S. 397 N. 352). Insoweit beschränkt sich die schweizerische Rechtshilfebehörde auf eine Prüfung "prima facie" ( BGE 124 II 184 E. 4b/cc S. 188).</w:t>
      </w:r>
    </w:p>
    <w:p>
      <w:r>
        <w:rPr>
          <w:b/>
        </w:rPr>
        <w:t>E. 3.4</w:t>
      </w:r>
    </w:p>
    <w:p>
      <w:r>
        <w:t>Gemäss Art. 2 lit. d des Bundesgesetzes vom 13. Dezember 1996 über das Kriegsmaterial (KMG; SR 514.51) bedarf die Ausfuhr von Kriegsmaterial einer Bewilligung des Bundes. Nach Art. 5 KMG gelten Waffen als Kriegsmaterial (Abs. 1 lit. a). Der Bundesrat bezeichnet das Kriegsmaterial in einer Verordnung (Abs. 3). Nach Anhang 1 der Verordnung vom 25. Februar 1998 über das Kriegsmaterial (KMV; SR 514.511) stellen unter anderem Hand- und Faustfeuerwaffen jeglichen Kalibers Kriegsmaterial dar. Gemäss Art. 33 Abs. 1 KMG wird bestraft, wer vorsätzlich in einem Gesuch Angaben, die für die Erteilung einer Bewilligung wesentlich sind, unrichtig macht (lit. b); wer an einen anderen als den in der Bewilligung genannten Empfänger oder Bestimmungsort Kriegsmaterial liefert, überträgt oder vermittelt (lit. d). Nach den verbindlichen Schilderungen im Rechtshilfeersuchen haben die im deutschen Verfahren Angeschuldigten die dortigen Behörden über den Endverbleib der Waffen in der Schweiz getäuscht; in Wirklichkeit waren die Waffen für den Export nach Guatemala bzw. in die Dominikanische Republik bestimmt. Hätten die Angeschuldigten die ihnen vorgeworfenen Taten in der Schweiz begangen, hätten sie sich prima facie nach den dargelegten Tatbestandsvarianten von Art. 33 Abs. 1 KMG strafbar gemacht. Die beidseitige Strafbarkeit ist deshalb gegeben (vgl. ebenso Urteil 1A.217/2002 vom 18. November 2002 E. 4.1, wo das Bundesgericht Art. 33 KMG in einem ähnlichen Fall als offensichtlich anwendbar erachtet hat). Ob, wie die Bundesanwaltschaft dafürhält, überdies eine Widerhandlung nach Art. 33 des Bundesgesetzes vom 20. Juni 1997 über Waffen, Waffenzubehör und Munition (WG; SR 514.54) anzunehmen gewesen wäre, kann offen bleiben. Die Beschwerde erweist sich danach auch im vorliegenden Punkt als unbegründet.</w:t>
      </w:r>
    </w:p>
    <w:p>
      <w:r>
        <w:rPr>
          <w:b/>
        </w:rPr>
        <w:t>E. 4</w:t>
      </w:r>
    </w:p>
    <w:p>
      <w:r>
        <w:t>Die Beschwerde ist abzuweisen, soweit darauf überhaupt eingetreten werden kann. Da die Beschwerdeführer unterliegen, tragen sie die Kosten ( Art. 156 Abs. 1 OG ). Wie dargelegt, ist zu berücksichtigen, dass sich die Beschwerdeführer wegen der geänderten Ablage der herauszugebenden Dokumente in jenem Punkt zur Beschwerde veranlasst sehen konnten. Es wird deshalb eine reduzierte Gerichtsgebühr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