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1A.123/1999 vom 1. Mai 2000</w:t>
      </w:r>
    </w:p>
    <w:p>
      <w:r>
        <w:t>Bundesgericht, 2000-05-01, FR</w:t>
      </w:r>
    </w:p>
    <w:p>
      <w:r>
        <w:rPr>
          <w:b/>
        </w:rPr>
        <w:t xml:space="preserve">Quelle: </w:t>
      </w:r>
      <w:r>
        <w:t>https://mcp.opencaselaw.ch/entscheid/bger_1A.123_1999</w:t>
      </w:r>
    </w:p>
    <w:p>
      <w:r>
        <w:t>FR: TF 1A.123/1999 du 1 mai 2000</w:t>
      </w:r>
    </w:p>
    <w:p>
      <w:r>
        <w:t>IT: TF 1A.123/1999 del 1 maggio 2000</w:t>
      </w:r>
    </w:p>
    <w:p>
      <w:pPr>
        <w:pStyle w:val="Heading2"/>
      </w:pPr>
      <w:r>
        <w:t>Regeste</w:t>
      </w:r>
    </w:p>
    <w:p>
      <w:r>
        <w:t>Équilibre écologique</w:t>
      </w:r>
    </w:p>
    <w:p>
      <w:pPr>
        <w:pStyle w:val="Heading2"/>
      </w:pPr>
      <w:r>
        <w:t>Erwägungen</w:t>
      </w:r>
    </w:p>
    <w:p>
      <w:r>
        <w:rPr>
          <w:b/>
        </w:rPr>
        <w:t>E. 1</w:t>
      </w:r>
    </w:p>
    <w:p>
      <w:r>
        <w:t>a) La voie du recours de droit administratif ( art. 97 ss OJ ) est ouverte contre une décision, prise par une autorité cantonale de recours statuant en dernière instance (cf. art. 98 let . g OJ), relative à une autorisation fondée sur la loi fédérale sur la pêche ( ATF 125 II 29 consid. p. 32; 117 Ib 178 consid. 1a p. 184). b) La jurisprudence a déjà admis en cette matière, à plusieurs reprises, la qualité pour recourir des associations d'importance cantonale à but idéal qui défendent les intérêts de la pêche, donc de leurs membres pratiquant cette activité, et partant la protection des rivières ou des milieux piscicoles. Comme la loi fédérale sur la pêche n'accorde directement aucun droit de recours à ces organisations (cf. art. 103 let . c OJ), le Tribunal fédéral leur a généralement reconnu la qualité pour recourir en vertu de l' art. 103 let. a OJ (quant aux conditions générales pour le recours des associations selon cette disposition, cf. ATF 121 II 39 consid. 2d/aa p. 46; 120 Ib 59 consid. 1a p. 61; 119 Ib 374 consid. 2a/aa p. 376; quant à la qualité pour recourir des associations cantonales de pêcheurs, cf. ATF 125 II 591 consid. 1b non publié; 112 Ib 424 consid. 2 non publié; 110 Ib 160 consid. 2 p. 161; 109 Ib 214 consid. 2a; 107 Ib 151 consid. 1b non publié; arrêt non publié du 20 novembre 1985, Fédération fribourgeoise des sociétés de pêche, consid. 2b). Cette jurisprudence peut être appliquée à la Fédération genevoise des sociétés de pêche. c) Les autres conditions de recevabilité du recours de droit administratif sont remplies et il y a lieu d'entrer en matière.</w:t>
      </w:r>
    </w:p>
    <w:p>
      <w:r>
        <w:rPr>
          <w:b/>
        </w:rPr>
        <w:t>E. 2</w:t>
      </w:r>
    </w:p>
    <w:p>
      <w:r>
        <w:t>Dans un premier moyen, la recourante fait valoir que Patrick Durand, membre de la Commission cantonale de la pêche, membre d'associations intéressées à la protection de la nature, entretenant des relations privilégiées avec le département cantonal et auteur du rapport d'impact, aurait "utilisé ses différentes casquettes" contre les intérêts de la pêche et des pêcheurs (ce reproche étant au reste formulé sans critique concrète des prises de position de l'intéressé). Aussi aurait-il dû se récuser lorsque la Commission cantonale de la pêche a examiné le projet des Services industriels pour la modification de l'ouvrage hydroélectrique de Verbois. a) La Commission cantonale de la pêche est un organe chargé de donner des préavis au département cantonal lorsqu'il doit autoriser une intervention technique au sens de la loi fédérale sur la pêche (art. 53 al. 1 let. b de la loi cantonale sur la pêche du 22 janvier 1988, en vigueur jusqu'au 8 février 1995 [aLCPê]; art. 52 al. 1 let . c de l'actuelle loi cantonale sur la pêche, du 20 octobre 1994 [LCPê]). Ses membres sont désignés par le Grand Conseil et par le Conseil d'Etat; il s'agit notamment de représentants des partis politiques, des pêcheurs sportifs et des milieux de protection de la nature (art. 52 aLCPê, art. 51 LCPê). Patrick Durand fait partie de cette commission. Selon l'arrêt attaqué, il se serait cependant abstenu lors du vote sur le préavis donné dans le cadre de la procédure d'autorisation litigieuse. Cette abstention ne ressort pas clairement des procès-verbaux des séances de la commission produits par la recourante, ni d'autres pièces du dossier; il apparaît néanmoins que Patrick Durand était présent lors de ces séances. Cela étant, la question de sa participation, ou de son abstention, lors des délibérations et des votes n'est pas décisive. b) Le Tribunal administratif a considéré que la Commission cantonale de la pêche n'était pas une autorité administrative au sens de la loi cantonale sur la procédure administrative (LPA) et que par conséquent les règles de l' art. 15 al. 2 LPA sur la récusation des membres des autorités administratives ne s'y appliquaient pas. Cette interprétation du droit cantonal n'est pas arbitraire ni critiquable. Le champ d'application de la loi sur la procédure administrative est défini à son art. 1: elle concerne les procédures dans lesquelles des autorités administratives (et les juridictions administratives) prennent des décisions. Or la commission précitée n'est pas mentionnée dans la liste des autorités administratives cantonales et communales de l'art. 5 let. a à f LPA et, comme simple organe de préavis, elle n'est pas une institution investie du pouvoir de décision au sens de l' art. 5 let . g LPA. c) Cela étant, dans le processus qui aboutit à la délivrance par le département cantonal d'une autorisation spéciale selon l' art. 8 LFSP , la Commission cantonale de la pêche exerce nécessairement par ses préavis une certaine influence. On pourrait se demander si les membres de cette commission, notamment ceux qui y sont désignés en raison de leurs connaissances scientifiques et dont l'avis peut, pour cette raison, avoir un poids plus important, ne devraient pas être soumis à certaines règles en matière d'indépendance et d'impartialité, à l'instar par exemple des experts judiciaires qui fournissent un avis à la juridiction chargée de statuer (cf. ATF 125 II 541 consid. 4 p. 544); de telles règles pourraient alors le cas échéant découler directement du droit constitutionnel (soit, dans une procédure où un département cantonal statue, de l' art. 4 aCst. , en vigueur au moment où l'autorisation litigieuse a été donnée). Il n'y a cependant pas lieu d'examiner plus avant cette question. En effet, en procédure administrative cantonale, le Tribunal fédéral a jugé récemment que les garanties de l' art. 4 aCst. en matière d'indépendance et d'impartialité n'étaient pas équivalentes à celles - plus strictes - des art. 6 par. 1 CEDH et 58 aCst. , applicables au tribunaux, et qu'une appréciation spécifique était nécessaire dans chaque situation particulière, prenant en considération les fonctions assumées par l'autorité concernée ( ATF 125 I 119 consid. 3f p. 125; cf. également ATF 125 I 209 consid. 8a p. 218). Même en admettant l'existence de garanties constitutionnelles quant à l'indépendance et à l'impartialité des membres de la Commission cantonale de la pêche, l'appréciation spécifique prévue par la jurisprudence amènerait à la conclusion que Patrick Durand n'était pas juridiquement tenu de renoncer à participer aux séances consacrées au projet litigieux. En vertu de la loi, la commission comprenait à l'époque, sur seize membres, huit représentants des pêcheurs sportifs proposés par la Fédération genevoise des sociétés de pêche et un représentant des Services industriels (art. 52 al. 2 let. a et c aLCPê); pour le présent projet, les membres de la commission représentaient ainsi dans leur majorité des organisations directement intéressées. Cette situation a été manifestement voulue par le législateur cantonal et le département cantonal y était nécessairement attentif en évaluant la portée du préavis de la commission avant de rendre sa décision. Au reste, seule la participation d'un membre est mise en cause, sur la douzaine qui ont pris part aux séances consacrées en 1992 à la modification de l'ouvrage de Verbois; on ne voit pas en quoi son influence aurait pu être déterminante. Par ailleurs, cette personne, auteur du rapport d'impact, était certes un mandataire des Services industriels, mais cette relation contractuelle était particulière en raison des règles de la procédure d'étude d'impact. Le mandataire doit en effet non seulement se plier aux instructions du mandant, mais le cadre de son travail est aussi défini préalablement par l'administration dans le cahier des charges prévu à l'art. 8 de l'ordonnance relative à l'étude de l'impact sur l'environnement (OEIE; RS 814. 011); l'objet du mandat, dans ce contexte, implique une objectivité et un devoir de diligence particuliers (cf. Yves Nicole, L'étude d'impact dans le système fédéraliste suisse, thèse Lausanne 1992 p. 219 ss). Dans ces circonstances, le Tribunal administratif était fondé à ne tirer aucune conséquence juridique de l'intervention de Patrick Durand à deux titres (sa "double casquette", selon les termes de l'arrêt attaqué) dans la présente procédure. Il n'y a pas lieu d'examiner, au surplus, la question de la péremption du droit de demander la récusation de l'intéressé, étant donné que l'organisation recourante, représentée à la Commission cantonale de la pêche, aurait déjà pu formuler ses reproches avant l'octroi de l'autorisation litigieuse (et ne pas attendre le délai de réplique en procédure cantonale de recours). Quoi qu'il en soit, ses griefs sur ce point doivent être écartés.</w:t>
      </w:r>
    </w:p>
    <w:p>
      <w:r>
        <w:rPr>
          <w:b/>
        </w:rPr>
        <w:t>E. 3</w:t>
      </w:r>
    </w:p>
    <w:p>
      <w:r>
        <w:t>la structure du lit et des berges,</w:t>
      </w:r>
    </w:p>
    <w:p>
      <w:r>
        <w:rPr>
          <w:b/>
        </w:rPr>
        <w:t>E. 4</w:t>
      </w:r>
    </w:p>
    <w:p>
      <w:r>
        <w:t>le nombre et la nature des abris pour poissons,</w:t>
      </w:r>
    </w:p>
    <w:p>
      <w:r>
        <w:rPr>
          <w:b/>
        </w:rPr>
        <w:t>E. 5</w:t>
      </w:r>
    </w:p>
    <w:p>
      <w:r>
        <w:t>la profondeur et la température de l'eau,</w:t>
      </w:r>
    </w:p>
    <w:p>
      <w:r>
        <w:rPr>
          <w:b/>
        </w:rPr>
        <w:t>E. 6</w:t>
      </w:r>
    </w:p>
    <w:p>
      <w:r>
        <w:t>Il s'ensuit que le recours de droit administratif, en tous points mal fondé, doit être rejeté. La recourante, qui succombe, doit payer l'émolument judiciaire (art. 153 al. 1, 153a al. 1 et 156 al. 1 OJ). Les Services industriels, établissement de droit public cantonal (art. 1 de la loi sur l'organisation des Services industriels de Genève), n'ont pas droit à des dépens; il en va de même du département cantonal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