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1A.119/2004 vom 6. Juli 2004</w:t>
      </w:r>
    </w:p>
    <w:p>
      <w:r>
        <w:t>Bundesgericht, 2004-07-06, DE</w:t>
      </w:r>
    </w:p>
    <w:p>
      <w:r>
        <w:rPr>
          <w:b/>
        </w:rPr>
        <w:t xml:space="preserve">Quelle: </w:t>
      </w:r>
      <w:r>
        <w:t>https://mcp.opencaselaw.ch/entscheid/bger_1A.119_2004</w:t>
      </w:r>
    </w:p>
    <w:p>
      <w:r>
        <w:t>FR: TF 1A.119/2004 du 6 juillet 2004</w:t>
      </w:r>
    </w:p>
    <w:p>
      <w:r>
        <w:t>IT: TF 1A.119/2004 del 6 luglio 2004</w:t>
      </w:r>
    </w:p>
    <w:p>
      <w:pPr>
        <w:pStyle w:val="Heading2"/>
      </w:pPr>
      <w:r>
        <w:t>Erwägungen</w:t>
      </w:r>
    </w:p>
    <w:p>
      <w:r>
        <w:rPr>
          <w:b/>
        </w:rPr>
        <w:t>E. 1.1</w:t>
      </w:r>
    </w:p>
    <w:p>
      <w:r>
        <w:t>Die Verwaltungsgerichtsbeschwerde ist gemäss Art. 34 Abs. 1 des Bundesgesetzes über die Raumplanung vom 22. Juni 1979 (Raumplanungsgesetz, RPG; SR 700) unter anderem zulässig gegen kantonal letztinstanzliche Entscheide über die Zonenkonformität von Bauten und Anlagen ausserhalb der Bauzonen sowie über Bewilligungen im Sinne der Artikel 24-24d RPG. Im vorliegenden Fall vertrat die Beschwerdeführerin im kantonalen Verfahren indessen die Auffassung, die Umnutzung ihres Restaurantes sei nach Art. 37a RPG zu bewilligen. Nach Art. 37a RPG regelt der Bundesrat, unter welchen Voraussetzungen Zweckänderungen gewerblich genutzter Bauten und Anlagen zulässig sind, welche vor dem 1. Januar 1980 erstellt wurden oder seither als Folge von Änderungen der Nutzungspläne zonenwidrig geworden sind. Gleich wie Art. 24c RPG ist auch Art. 37a RPG nur auf solche Bauten ausserhalb des Baugebietes anwendbar, die seinerzeit in Übereinstimmung mit dem materiellen Recht erstellt wurden, durch die nachträgliche Änderung von Erlassen oder Plänen jedoch zonenwidrig geworden sind. Art. 37a RPG behandelt somit einen Spezialfall der grundsätzlich in Art. 24c RPG geregelten Bestandesgarantie (Peter Karlen, Die Ausnahmebewilligung nach Art. 24-24d RPG , in: ZBl 102/2001 S. 291 ff., 302). Gestützt auf Art. 37a RPG erteilte Bewilligungen gehören materiell klarerweise zu den Anordnungen im Sinne der Art. 24-24d RPG . Die Verwaltungsgerichtsbeschwerde ist somit grundsätzlich auch gegen Verfügungen, die in Anwendung von Art. 37a RPG ergangen sind, zulässig (vgl. dazu Urteil 1A.176/2002 vom 28. Juli 2002, E. 1).</w:t>
      </w:r>
    </w:p>
    <w:p>
      <w:r>
        <w:t>Die Beschwerdeführerin kann nicht nur rügen, die kantonalen Instanz habe zu Unrecht die Voraussetzungen für eine Bewilligung nach Art. 37a RPG verneint, sondern ebenfalls den damit in unmittelbarem Zusammenhang stehenden Nichteintretensentscheid beanstanden.</w:t>
      </w:r>
    </w:p>
    <w:p>
      <w:r>
        <w:rPr>
          <w:b/>
        </w:rPr>
        <w:t>E. 1.2</w:t>
      </w:r>
    </w:p>
    <w:p>
      <w:r>
        <w:t>Soweit die Verwaltungsgerichtsbeschwerde zulässig ist, kann die Beschwerdeführerin auch geltend machen, der angefochtene Entscheid verletze Bundesverfassungsrecht, weil dieses zum Bundesrecht im Sinne von Art. 104 lit. a OG gehört ( BGE 126 II 300 E. 1b S. 302; 121 II 39 E. 2d/bb S. 47, je mit Hinweisen).</w:t>
      </w:r>
    </w:p>
    <w:p>
      <w:r>
        <w:rPr>
          <w:b/>
        </w:rPr>
        <w:t>E. 1.3</w:t>
      </w:r>
    </w:p>
    <w:p>
      <w:r>
        <w:t>Einzutreten ist im vorliegenden Fall einzig auf den Vorwurf, das Verwaltungsgericht sei zu Unrecht nicht auf die Beschwerde eingetreten. Die Bewilligungsfähigkeit des Umnutzungsgesuches ist nicht Gegenstand des bundesgerichtlichen Verfahrens.</w:t>
      </w:r>
    </w:p>
    <w:p>
      <w:r>
        <w:t>Die weiteren Sachurteilsvoraussetzungen sind erfüllt und geben zu keinen Bemerkungen Anlass.</w:t>
      </w:r>
    </w:p>
    <w:p>
      <w:r>
        <w:rPr>
          <w:b/>
        </w:rPr>
        <w:t>E. 2</w:t>
      </w:r>
    </w:p>
    <w:p>
      <w:r>
        <w:t>Die Beschwerdeführerin rügt vorab eine Verletzung des rechtlichen Gehörs, weil das Verwaltungsgericht ihr keine Möglichkeit zur schriftlichen Stellungnahme in Bezug auf ihre Legitimation eingeräumt hat. Sodann macht sie im Zusammenhang mit dem Nichteintretensbeschluss die Verletzung resp. willkürliche Anwendung von kantonalem Recht geltend. Schliesslich verlangt sie im Eventualantrag die materielle Überprüfung ihres Umnutzungsvorhabens.</w:t>
      </w:r>
    </w:p>
    <w:p>
      <w:r>
        <w:rPr>
          <w:b/>
        </w:rPr>
        <w:t>E. 2.1</w:t>
      </w:r>
    </w:p>
    <w:p>
      <w:r>
        <w:t>Der Anspruch auf rechtliches Gehör ist formeller Natur. Seine Verletzung führt ungeachtet der Erfolgsaussichten in der Sache selbst zur Aufhebung des angefochtenen Entscheids. Nicht ausschlaggebend ist mit anderen Worten, ob die Anhörung im konkreten Fall für den Ausgang der materiellen Streitentscheidung von Bedeutung ist, d.h. die Behörde zu einer Änderung ihres Entscheides veranlasst wird oder nicht ( BGE 127 V 431 E. 3d/aa S. 437 ; 126 I 19 E. 2d/bb S. 24 ; 125 I 113 E. 3 S. 118).</w:t>
      </w:r>
    </w:p>
    <w:p>
      <w:r>
        <w:t>Es ist daher zunächst zu prüfen, ob das Verwaltungsgericht der Beschwerdeführerin das rechtliche Gehör verweigert hat. Ist dies zu bejahen, ist der angefochtene Beschluss aufzuheben. Diesfalls erübrigt sich eine Prüfung der übrigen Rügen.</w:t>
      </w:r>
    </w:p>
    <w:p>
      <w:r>
        <w:rPr>
          <w:b/>
        </w:rPr>
        <w:t>E. 2.2</w:t>
      </w:r>
    </w:p>
    <w:p>
      <w:r>
        <w:t>Die Tragweite des Anspruchs auf rechtliches Gehör bestimmt in erster Linie das kantonale Recht, dessen Anwendung das Bundesgericht unter dem beschränkten Gesichtswinkel der Willkür prüft. Falls sich der Schutz aufgrund des kantonalen Rechts als ungenügend erweist, kann sich der Betroffene auf denjenigen berufen, der sich unmittelbar aus Art. 29 Abs. 2 BV ergibt. Diese Bestimmung gewährleistet einen verfassungsrechtlichen Mindestschutz. Das Bundesgericht prüft frei, ob die sich aus Art. 29 Abs. 2 BV ergebenden Rechte verletzt worden sind ( BGE 124 I 241 E. 2 S. 242 f.; 120 Ia 220 E. 3a S. 223; 114 Ia 93 E. 2 S. 98/99 mit Hinweisen).</w:t>
      </w:r>
    </w:p>
    <w:p>
      <w:r>
        <w:rPr>
          <w:b/>
        </w:rPr>
        <w:t>E. 2.3</w:t>
      </w:r>
    </w:p>
    <w:p>
      <w:r>
        <w:t>Ob das Verwaltungsgericht das kantonale Recht willkürlich angewandt habe, kann offen bleiben, wenn sich ergibt, dass es den Anspruch der Beschwerdeführerin auf rechtliches Gehör nach Art. 29 Abs. 2 BV verletzt hat.</w:t>
      </w:r>
    </w:p>
    <w:p>
      <w:r>
        <w:t>Das rechtliche Gehör gemäss Art. 29 Abs. 2 BV dient einerseits der Sachaufklärung anderseits stellt es ein persönlichkeitsbezogenes Mitwirkungsrecht beim Erlass eines Entscheids dar, welcher in die Rechtsstellung des Einzelnen eingreift. Dazu gehört das Recht des Betroffenen, sich vor dem Entscheid zur Sache zu äussern ( BGE 127 I 54 E. 2b S. 56 mit Hinweis). Anspruch auf vorgängige Anhörung besteht insbesondere, wenn das Gericht seinen Entscheid mit einer Rechtsnorm oder einem Rechtsgrund zu begründen beabsichtigt, die im bisherigen Verfahren nicht herangezogen wurden, auf die sich die Parteien nicht berufen haben und mit deren Erheblichkeit im konkreten Fall sie nicht rechnen konnten ( BGE 128 V 272 E. 5b/bb S. 278 ; 124 I 49 E. 3c S. 52 ; 123 I 63 E. 2d S. 69; 116 V 182 E. 1a S. 185; 115 Ia 94 E. 1b S. 96/97; 114 Ia 97 E. 2a S. 99 mit Hinweisen; Michele Albertini, Der verfassungsmässige Anspruch auf rechtliches Gehör im Verwaltungsverfahren des modernen Staates, Diss. Bern 2000, S. 270 f.).</w:t>
      </w:r>
    </w:p>
    <w:p>
      <w:r>
        <w:rPr>
          <w:b/>
        </w:rPr>
        <w:t>E. 3.1</w:t>
      </w:r>
    </w:p>
    <w:p>
      <w:r>
        <w:t>Die Beschwerdeführerin vertritt die Auffassung, die Referentin des Verwaltungsgerichtes habe sich telefonisch bei ihrem Rechtsvertreter erkundigt, ob an der Beschwerde noch ein Interesse bestehe, da das Baugrundstück verkauft worden sei. Der Anwalt sei durch diese telefonische Anfrage "überrumpelt" worden. Er habe, soweit er sich erinnern könne, erklärt, er ziehe einen Parteiwechsel in Erwägung, müsse sich die Sache aber noch überlegen und werde schriftlich dazu Stellung nehmen. Die Referentin habe dies stillschweigend akzeptiert und habe ihn nicht darüber informiert, dass er sich bereits anlässlich dieses Telefonats abschliessend zur Interessenlage äussern müsse. Ebenso wenig sei ihm eine förmliche Frist zur Stellungnahme angesetzt worden.</w:t>
      </w:r>
    </w:p>
    <w:p>
      <w:r>
        <w:rPr>
          <w:b/>
        </w:rPr>
        <w:t>E. 3.2</w:t>
      </w:r>
    </w:p>
    <w:p>
      <w:r>
        <w:t>Dieser Darstellung des Sachverhalts hält das Verwaltungsgericht in seiner Vernehmlassung vor Bundesgericht entgegen, dem Anwalt sei die notwendige Zeit zur Klärung der Frage, wer im Beschwerdeverfahren Parteistellung einnehme, zugestanden worden. In seinem telefonischen Rückruf habe der Anwalt erklärt, er werde eine Eingabe machen und den Prozesseintritt des Rechtsnachfolgers erklären. Vom Interesse der Beschwerdeführerin an der Weiterführung des Prozesses sei nicht mehr die Rede gewesen.</w:t>
      </w:r>
    </w:p>
    <w:p>
      <w:r>
        <w:rPr>
          <w:b/>
        </w:rPr>
        <w:t>E. 3.3</w:t>
      </w:r>
    </w:p>
    <w:p>
      <w:r>
        <w:t>Die Schilderung des Verwaltungsgerichtes wird durch die Aktennotiz der Referentin vom 27. Februar 2004 gestützt. Wie es sich genau verhalten hat, kann indessen offen bleiben. Da die Beschwerdeführerin im vorinstanzlichen Verfahren als Eigentümerin eigene Interessen vertreten hatte, hatte ihre Legitimation nie zu grösseren Bemerkungen Anlass gegeben. Aufgrund des Eigentümerwechsels ergibt sich jedoch eine veränderte Ausgangslage. Wollte das Verwaltungsgericht bei seinem Beschluss neu auf den Rechtsgrund der fehlenden Legitimation abstellen, wäre es angezeigt gewesen, die Beschwerdeführerin davon in Kenntnis zu setzen und mit dem Entscheid entweder bis zum Eintreffen einer schriftlichen Stellungnahme zuzuwarten oder der Beschwerdeführerin zu diesem Zweck förmlich eine Frist einzuräumen. Die bisherige Prozesspartei muss sich gehörig dazu äussern können, ob und inwiefern sie an der Weiterführung des Verfahrens ein schützenswertes Interesse hat. Stellt der Rechtsvertreter am Telefon eine Vernehmlassung in Aussicht und bleibt eine solche in der Folge kommentarlos aus, ist der Beschwerdeführerin unter formeller Fristansetzung nochmals die Gelegenheit zur schriftlichen Darlegung ihrer Rechtsauffassung zu gewähren.</w:t>
      </w:r>
    </w:p>
    <w:p>
      <w:r>
        <w:t>Die Unstimmigkeit zwischen den beiden Sachverhaltsdarstellungen zeigt überdies, welche Bedeutung einer schriftlichen Stellungnahme der Beschwerdeführerin zu ihrer Legitimation beizumessen ist: Damit werden nicht nur Beweisschwierigkeiten vermieden. Auf diese Weise wird der Beschwerdeführerin erst ermöglicht, ihre Rechte und Interessen rechtsgenüglich zu wahren. Kann sie sich lediglich telefonisch zur Rechtslage äussern, besteht die Gefahr einer übereilten Aussage. Wichtige Standpunkte werden allenfalls übersehen. Das Äusserungsrecht hat in diesem Sinne eine Hinweis- und Warnfunktion (vgl. Albertini, a.a.O., S. 259).</w:t>
      </w:r>
    </w:p>
    <w:p>
      <w:r>
        <w:rPr>
          <w:b/>
        </w:rPr>
        <w:t>E. 4</w:t>
      </w:r>
    </w:p>
    <w:p>
      <w:r>
        <w:t>Zusammenfassend ergibt sich, dass die Beschwerde gutzuheissen ist. Der Beschluss des Verwaltungsgerichtes vom 18. März 2004 ist aufzuheben und die Angelegenheit an die Vorinstanz zur neuen Entscheidung zurückzuweisen.</w:t>
      </w:r>
    </w:p>
    <w:p>
      <w:r>
        <w:t>Dem Kanton Zürich sind in Anwendung von Art. 156 Abs. 2 OG trotz seines Unterliegens keine Kosten aufzuerlegen. Er hat der Beschwerdeführerin jedoch eine angemessene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