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1A.112/2000 vom 19. Oktober 2000</w:t>
      </w:r>
    </w:p>
    <w:p>
      <w:r>
        <w:t>Bundesgericht, 2000-10-19, FR</w:t>
      </w:r>
    </w:p>
    <w:p>
      <w:r>
        <w:rPr>
          <w:b/>
        </w:rPr>
        <w:t xml:space="preserve">Quelle: </w:t>
      </w:r>
      <w:r>
        <w:t>https://mcp.opencaselaw.ch/entscheid/bger_1A.112_2000</w:t>
      </w:r>
    </w:p>
    <w:p>
      <w:r>
        <w:t>FR: TF 1A.112/2000 du 19 octobre 2000</w:t>
      </w:r>
    </w:p>
    <w:p>
      <w:r>
        <w:t>IT: TF 1A.112/2000 del 19 ottobre 2000</w:t>
      </w:r>
    </w:p>
    <w:p>
      <w:pPr>
        <w:pStyle w:val="Heading2"/>
      </w:pPr>
      <w:r>
        <w:t>Regeste</w:t>
      </w:r>
    </w:p>
    <w:p>
      <w:r>
        <w:t>Équilibre écologique</w:t>
      </w:r>
    </w:p>
    <w:p>
      <w:pPr>
        <w:pStyle w:val="Heading2"/>
      </w:pPr>
      <w:r>
        <w:t>Erwägungen</w:t>
      </w:r>
    </w:p>
    <w:p>
      <w:r>
        <w:rPr>
          <w:b/>
        </w:rPr>
        <w:t>E. 1</w:t>
      </w:r>
    </w:p>
    <w:p>
      <w:r>
        <w:t>Les recours, présentés dans une seule écriture, sont intentés par les mêmes personnes contre le même arrêt cantonal et présentent des griefs complémentaires; il sied par conséquent de joindre les deux procédures et de statuer par un seul arrêt ( art. 40 OJ en relation avec l' art. 24 PCF ; ATF 123 II 16 consid. 1 p. 20; 113 Ia 390 consid. 1 p. 394).</w:t>
      </w:r>
    </w:p>
    <w:p>
      <w:r>
        <w:rPr>
          <w:b/>
        </w:rPr>
        <w:t>E. 2</w:t>
      </w:r>
    </w:p>
    <w:p>
      <w:r>
        <w:t>Le Tribunal fédéral examine d'office et librement la recevabilité des recours qui lui sont soumis ( ATF 126 I 81 consid. 1 p. 83; 126 III 274 consid. 1 p. 275 et les arrêts cités). Lorsque, comme en l'espèce, les recourants agissent simultanément par la voie du recours de droit public et celle du recours de droit administratif, la règle de la subsidiarité du recours de droit public énoncée à l' art. 84 al. 2 OJ commande d'examiner en premier lieu la recevabilité du recours de droit administratif ( ATF 124 I 223 consid. 1a p. 224; 123 II 231 consid. 1 p. 233; 122 II 373 consid. 1b p. 375; 122 I 267 consid. 1a p. 269/270). a) 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125 II 10 consid. 2a p. 13 et les arrêts cités). En revanche, c'est la voie du recours de droit public qui est ouverte contre des décisions fondées sur le droit cantonal autonome, ne présentant aucun rapport de connexité avec l'application du droit fédéral ( ATF 126 V 30 consid. 2 p. 32 et les arrêts cités). aa) A l'appui de leur recours de droit administratif, les recourants font valoir que l'attribution d'un degré de sensibilité III au bruit à la parcelle n° 10'242 violerait les normes fédérales en matière de protection contre le bruit et, plus particulièrement, les dispositions de l' art. 43 OPB . Ils sont d'avis qu'au vu des activités déployées dans le quartier de la Barre, un degré de sensibilité II aurait dû être fixé et requièrent le renvoi du dossier à la Municipalité de Lausanne pour qu'elle procède à une nouvelle étude de bruit et fixe de nouvelles valeurs limites d'immission en tenant compte de l'application du degré de sensibilité II. Selon la jurisprudence constante du Tribunal fédéral, c'est par la voie du recours de droit administratif - effectivement choisie en l'occurrence - qu'un tel grief doit être invoqué ( ATF 121 II 72 consid. 1b in fine p. 75/76, 235 consid. 1 p. 237; 120 Ib 287 consid. 3c/dd p. 298; 119 Ib 179 consid. 1a p. 182; ZBl 95/1996 p. 407 consid. 1a p. 408; Pra 2000 n° 64 p. 386 consid. 1a p. 388). bb) Dans le cadre de leur recours de droit public, les recourants dénoncent une application arbitraire de l'art. 80 al. 2 LATC, qui autorise notamment la transformation des bâtiments existants non conformes aux règles de la zone à bâtir dans les limites des volumes existants pour autant que les travaux n'aggravent pas les inconvénients qui en résultent pour le voisinage. Ils ne contestent pas la motivation de l'arrêt attaqué suivant laquelle la question de l'aggravation des inconvénients devait être exclusivement résolue au regard du droit fédéral. Ils reprochent à l'autorité intimée de l'avoir tranchée par la négative en l'absence d'une étude de bruit permettant d'admettre que les exigences du droit fédéral en matière de protection de l'environnement seraient satisfaites, compte tenu d'un degré de sensibilité II au bruit attribué à la zone. Tel qu'il est formulé, le grief tiré d'une application arbitraire de l'art. 80 al. 2 LATC n'a pas de portée propre par rapport à celui de la violation du droit fédéral, de sorte que le recours de droit public est irrecevable pour ce motif, sans qu'il soit nécessaire d'examiner s'il répond au surplus aux exigences de l' art. 90 al. 1 let. b OJ (cf. ATF 125 I 492 consid. 1b p. 495 et les arrêts cités). Vu ce qui précède, le recours de droit administratif est seul recevable en l'espèce. b) Les membres de la PPE "X.________" sont propriétaires d'appartements en propriété par étages dans un immeuble voisin du bâtiment dans lequel le bar-dancing projeté devrait prendre place et sont ainsi directement exposés aux nuisances provoquées par son exploitation. Ils ont qualité pour recourir en vertu de l' art. 103 let. a OJ (cf. ATF 119 Ib 179 consid. 1c p. 184/185; 111 Ib 159 ). Les autres conditions de recevabilité du recours de droit administratif sont réalisées, la clause d'exclusion de l' art. 99 let . e OJ ne s'appliquant pas en l'espèce (cf. ATF 117 Ib 12 consid. 1a et les références citées). Il convient donc d'entrer en matière sur le fond.</w:t>
      </w:r>
    </w:p>
    <w:p>
      <w:r>
        <w:rPr>
          <w:b/>
        </w:rPr>
        <w:t>E. 3</w:t>
      </w:r>
    </w:p>
    <w:p>
      <w:r>
        <w:t>Les recourants requièrent la fixation d'un degré de sensibilité II au bruit en lieu et place du degré de sensibilité III attribué par la Municipalité de Lausanne. Ils demandent le renvoi de la cause à l'autorité communale ou cantonale pour qu'elle examine la compatibilité du projet avec les normes fédérales en matière de protection contre le bruit, compte tenu d'un degré de sensibilité II. a) Les degrés de sensibilité au bruit indiquent le niveau d'immissions à partir duquel les nuisances sonores sont ressenties comme incommodantes par la population de la zone concernée. Ce niveau doit être respecté par toute installation fixe nouvelle ou existante. L' art. 43 al. 1 OPB détermine les degrés de sensibilité selon l'intensité des nuisances tolérées dans la zone. Cette disposition commande en particulier l'attribution d'un degré de sensibilité II dans les zones où aucune entreprise gênante n'est autorisée, notamment dans les zones d'habitation ainsi que dans celles réservées à des constructions et installations publiques (let. b), et d'un degré de sensibilité III dans les zones ouvertes aux entreprises moyennement gênantes, telles les zones d'habitation et artisanales (zones mixtes) et les zones agricoles (let. c). Cette classification doit être respectée par les autorités cantonales et communales dans l'exercice du pouvoir d'appréciation qui leur est reconnu en la matière ( ATF 120 Ib 287 consid. 3c/bb p. 295, 456 consid. 4b p. 460; 119 Ib 179 consid. 2a p. 186; ZBl 97/1996 p. 407 consid. 4b p. 411). L'attribution des degrés de sensibilité dépend avant tout des caractéristiques de la zone dans laquelle se trouvent les locaux à usage sensible au bruit et de l'intensité des nuisances qui y sont tolérées, indépendamment de sa dénomination; ainsi, une zone à vocation mixte ne requiert pas nécessairement l'attribution d'un degré de sensibilité III si elle n'est pas destinée à des activités moyennement gênantes pour le voisinage (cf. Anne-Christine Favre, Quelques questions soulevées par l'application de l'OPB, RDAF 1992 p. 289 ss, spéc. p. 311 et la jurisprudence citée). b) En l'espèce, le règlement communal concernant le plan d'extension ne définit pas l'affectation de la zone urbaine de l'ordre contigu, dont fait partie le quartier de la Barre. En pareil cas, il convient d'attribuer les degrés de sensibilité en fonction des activités effectivement déployées dans la zone et du niveau existant des nuisances sonores. Le quartier de la Barre n'est pas exclusivement voué à l'habitation, mais comporte un café-restaurant en face du bâtiment litigieux, une école ainsi que différents commerces. Par ailleurs, l'immeuble dans lequel l'intimée entend réaliser son projet a accueilli successivement le Foyer Restaurant Universitaire jusqu'en 1987, puis le théâtre-buvette "Espace Barré" jusqu'au 30 septembre 1997, avec des heures de fermeture analogues à celle d'un café-restaurant. Il est donc inexact de prétendre que le quartier de la Barre serait essentiellement voué à l'habitation ou à des activités non gênantes pour le voisinage. Par ailleurs, il est situé à proximité immédiate de la place du Tunnel, qui accueille des établissements publics analogues à celui projeté. Dans ces conditions, on ne saurait dire que le quartier de la Barre bénéficie d'une situation tranquille que la Municipalité de Lausanne devrait impérativement préserver en lui attribuant un degré de sensibilité II au bruit (cf. DEP 1999 p. 731). S'agissant au contraire d'une zone mixte à proximité immédiate du centre ville, dans laquelle s'implantent des activités moyennement gênantes pour le voisinage, l'attribution du degré de sensibilité III est conforme à l' art. 43 al. 1 let . c OPB et ne procède pas d'un abus ou d'un excès du pouvoir d'appréciation (cf. ZBl 91/1990 p. 509; ATF 117 Ib 125 consid. 4c).</w:t>
      </w:r>
    </w:p>
    <w:p>
      <w:r>
        <w:rPr>
          <w:b/>
        </w:rPr>
        <w:t>E. 4</w:t>
      </w:r>
    </w:p>
    <w:p>
      <w:r>
        <w:t>Pour le surplus, les recourants font valoir que les autorités cantonales et communale se seraient basées à tort sur les valeurs de planification de l'annexe 6 de l'OPB pour apprécier les nuisances induites par l'exploitation du bar-dancing et qu'elle n'aurait opéré aucune distinction selon les périodes d'évaluation du bruit. a) Il est constant que le bar-dancing que l'intimée entend exploiter dans le bâtiment sis au n° 1 de la rue de la Barre est une installation fixe au sens des art. 7 al. 7 LPE et 2 al. 1 OPB à laquelle s'appliquent les règles de la législation fédérale sur la protection de l'environnement en matière de limitation des nuisances sonores (cf. ATF 123 II 325 consid. 4a; DEP 1999 p. 264 consid. 3a p. 266; DEP 1997 p. 197 consid. 2 p. 199/200; Anne-Christine Favre, Le bruit des établissements publics, RDAF 2000 I p. 3). En l'occurrence, l'autorité intimée n'a pas tranché la question de savoir si le bar-dancing projeté constitue une installation nouvelle, dont les émissions de bruit devraient être limitées de façon à ne pas dépasser les valeurs de planification dans le voisinage (cf. art. 25 al. 1 LPE et 7 al. 1 let. b OPB), ou s'il s'agit d'une installation fixe existante notablement modifiée, selon l' art. 8 al. 3 OPB , qui ne devrait respecter que les valeurs limites d'immission en vertu de l' art. 8 al. 2 OPB . Cette question peut rester indécise car les exigences plus sévères des art. 25 LPE et 7 al. 1 let. b OPB seraient de toute manière respectées si la réalisation du bar-dancing dans les locaux du bâtiment sis au n° 1 de la rue de la Barre devait être assimilée à une installation nouvelle (cf. arrêt du 20 novembre 1998 reproduit in DEP 1999 p. 264 consid. 3a p. 267; ATF 123 II 325 consid. 4c/aa p. 329). b) A teneur de l' art. 11 LPE , les pollutions atmosphériques, le bruit, les vibrations et les rayons sont limités par des mesures prises à la source en vue de la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L'évaluation des atteintes nuisibles ou incommodantes se fait au regard des valeurs limites d'immissions édictées par le Conseil fédéral ( art. 13, 14 et 15 LPE ; cf. ATF 123 II 74 consid. 4a p. 82). c) Pour atteindre les objectifs de limitation de bruit assignés à l'art. 1 al. 1 et al. 2 let. b OPB, il convient de prendre en compte tous les bruits provoqués par l'utilisation normale, conforme à sa destination, de l'installation en cause, que ces bruits proviennent de l'intérieur des locaux considérés, ou de l'extérieur de ceux-ci ( ATF 123 II 325 consid. 4a/bb p. 327/328; 123 II 74 consid. 3b p. 79). Selon la jurisprudence, la notion d'exploitation doit être interprétée largement: tous les bruits directement liés à une installation, qui peuvent se révéler nuisibles ou incommodants pour les voisins, sont soumis aux prescriptions sur la limitation des nuisances des art. 11ss LPE ( ATF 123 II 74 consid. 3d p. 81); cela concerne notamment les bruits provenant des allées et venues des clients aux abords des bars et des dancings (nuisances liées au trafic, conversations, éclats de voix, etc.). Selon la jurisprudence, l'autorité d'exécution ne peut évaluer le bruit provenant d'établissements publics, tels que le bar-dancing projeté, au regard des seules annexes de l'OPB ( ATF 123 II 74 consid. 4b p. 83, 325 consid. 4d/aa p. 333). Faute de valeurs spécifiques, l'autorité d'exécution doit faire application de l' art. 15 LPE , à teneur duquel les valeurs limites d'immissions concernant le bruit et les vibrations sont fixées de manière que, selon l'état de la science et de l'expérience, les immissions inférieures à ces valeurs ne gênent pas de manière sensible la population dans son bien-être ( ATF 123 II 325 consid. 4d/bb p. 334). Dans cette appréciation, l'autorité tient compte du type de bruit en question, de son moment et de sa fréquence, ainsi que des caractéristiques de la zone où se trouve l'installation ( ATF 123 II 325 consid. 4d/bb p. 335). d) En l'occurrence, l'intimée a procédé, à la requête du Service cantonal de l'environnement et de l'énergie, à une expertise acoustique qui, s'agissant des nuisances sonores causées par la musique, aboutit à la conclusion qu'une limitation du niveau sonore intérieur de 79 dB(A) dans le bar et de 92 dB(A) à l'intérieur du dancing permettra de respecter les valeurs limites fixées par le Service cantonal de l'environnement et de l'énergie, dans les appartements voisins, tant pour le bruit transmis par voie solidienne que pour celui transmis par voie aérienne, moyennant la réalisation des différentes mesures de construction et d'équipement assorties à l'autorisation de construire. Les valeurs limites fixées par le Service cantonal de l'environnement et de l'énergie ne correspondent pas à celles définies dans l'Annexe 6 de l'OPB, mais à celles plus sévères préconisées par la section romande du groupement des responsables cantonaux pour la protection contre le bruit dans sa directive du 10 mars 1999 relative à la détermination et à l'évaluation des nuisances sonores liées à l'exploitation des établissements publics, même si ce document n'avait pas encore été adopté lorsque le projet a été soumis à la consultation des services cantonaux concernés (cf. RDAF 2000 1 p. 21). Le projet n'a donc pas, comme l'affirment les recourants, été apprécié au regard des valeurs de planification de l'Annexe 6 de l'OPB, s'agissant des émissions sonores causées par la musique. L'expert se réfère sur ce point aux valeurs de planification au bruit de l'industrie et des arts et métiers uniquement à titre de comparaison. Pour le surplus, les recourants ne formulent aucune critique concernant l'expertise acoustique ou les valeurs limites fixées par le Service cantonal de l'environnement et de l'énergie. L'OFEFP a considéré, à ce sujet, comme suffisantes les mesures préventives des émissions exigées par les autorités cantonales et reprises dans le permis de construire. Le Tribunal fédéral n'a dès lors aucune raison de mettre en doute cette appréciation au vu des pièces du dossier. S'agissant des nuisances sonores directes dues aux discussions de la clientèle quittant l'établissement, l'autorité intimée a fait siennes les considérations de l'Office cantonal de la police du commerce selon lesquelles il ne se justifiait pas de fixer des mesures préventives, mais qu'il convenait de réserver la possibilité d'imposer l'engagement d'une personne à l'entrée de l'établissement afin de réduire les bruits de comportement aux abords immédiats du dancing en cas de plaintes répétées. Elle a en outre admis que le projet n'entraînerait pas une utilisation accrue des voies de communication au sens de l' art. 9 OPB dans la mesure où il existe une offre suffisante en places de parc à proximité immédiate de l'établissement. L'OFEFP a également souscrit à cette appréciation sur laquelle le Tribunal fédéral n'a aucune raison de revenir en l'absence de tout grief à ce propos. Enfin, dans la mesure où les valeurs limites d'immission fixées par le Service cantonal de l'environnement et de l'énergie étaient respectées pour la période comprise entre 22h00 et 07h00, selon l'expertise de bruit réalisée par la constructrice à la requête des autorités cantonales, l'autorité intimée pouvait sans violer le droit fédéral renoncer à imposer à titre préventif des mesures plus restrictives sous la forme d'une restriction des horaires d'ouverture du bar-dancing (cf. arrêt du 20 novembre 1998, in DEP 1999 p. 264 consid. 4f p. 273). e) Vu ce qui précède, l'évaluation des immissions faites par les autorités cantonales conformément à l' art. 40 al. 3 OPB n'est dès lors pas critiquable.</w:t>
      </w:r>
    </w:p>
    <w:p>
      <w:r>
        <w:rPr>
          <w:b/>
        </w:rPr>
        <w:t>E. 5</w:t>
      </w:r>
    </w:p>
    <w:p>
      <w:r>
        <w:t>Le recours de droit administratif doit ainsi être rejeté (le recours de droit public étant irrecevable - cf. supra, consid. 2a/bb). L'émolument judiciaire doit être mis à la charge des recourants qui succombent ( art. 156 al. 1 OJ ). Il n'y a pas lieu d'octroyer des dépens à l'intimée qui n'a pas présenté d'observations, ni aux autorités concernées et à la Commune de Lausanne, censée disposer d'une administration suffisamment développée pour procéder sans l'assistance d'un mandataire extérieur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