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1A.109/2006 vom 5. Oktober 2006</w:t>
      </w:r>
    </w:p>
    <w:p>
      <w:r>
        <w:t>Bundesgericht, 2006-10-05, DE</w:t>
      </w:r>
    </w:p>
    <w:p>
      <w:r>
        <w:rPr>
          <w:b/>
        </w:rPr>
        <w:t xml:space="preserve">Quelle: </w:t>
      </w:r>
      <w:r>
        <w:t>https://mcp.opencaselaw.ch/entscheid/bger_1A.109_2006</w:t>
      </w:r>
    </w:p>
    <w:p>
      <w:r>
        <w:t>FR: TF 1A.109/2006 du 5 octobre 2006</w:t>
      </w:r>
    </w:p>
    <w:p>
      <w:r>
        <w:t>IT: TF 1A.109/2006 del 5 ottobre 2006</w:t>
      </w:r>
    </w:p>
    <w:p>
      <w:pPr>
        <w:pStyle w:val="Heading2"/>
      </w:pPr>
      <w:r>
        <w:t>Regeste</w:t>
      </w:r>
    </w:p>
    <w:p>
      <w:r>
        <w:t>Güterbahnhof Zürich; Verzicht auf Unterschutzstellung und Entlassung aus dem kommunalen Denkmalschutzinventar | Ökologisches Gleichgewicht</w:t>
      </w:r>
    </w:p>
    <w:p>
      <w:pPr>
        <w:pStyle w:val="Heading2"/>
      </w:pPr>
      <w:r>
        <w:t>Erwägungen</w:t>
      </w:r>
    </w:p>
    <w:p>
      <w:r>
        <w:rPr>
          <w:b/>
        </w:rPr>
        <w:t>E. 1</w:t>
      </w:r>
    </w:p>
    <w:p>
      <w:r>
        <w:t>Das Bundesgericht prüft die Zulässigkeit der bei ihm eingereichten Beschwerden von Amtes wegen und mit freier Kognition ( BGE 127 I 92 E. 1 S. 93; 127 II 198 E. 2 S. 201; 127 III 41 E. 2a S. 42, je mit Hinweisen).</w:t>
      </w:r>
    </w:p>
    <w:p>
      <w:r>
        <w:rPr>
          <w:b/>
        </w:rPr>
        <w:t>E. 1.1</w:t>
      </w:r>
    </w:p>
    <w:p>
      <w:r>
        <w:t>Als unzulässig erweist sich der Antrag der Beschwerdeführer, auch die Verfügung der Baudirektion vom 4. Mai 2005 und den Entscheid des Regierungsrats vom 2. November 2005 aufzuheben. Diese sind durch das Urteil des Verwaltungsgerichts ersetzt worden (Devolutiveffekt) und gelten als mit angefochten; ihre selbständige Beanstandung ist ausgeschlossen ( BGE 129 II 438 E. 1 S. 441 mit Hinweisen).</w:t>
      </w:r>
    </w:p>
    <w:p>
      <w:r>
        <w:rPr>
          <w:b/>
        </w:rPr>
        <w:t>E. 1.2</w:t>
      </w:r>
    </w:p>
    <w:p>
      <w:r>
        <w:t>Nicht einzutreten ist sodann auf die Beschwerde des Zürcher Heimatschutzes als Beschwerdeführer 2, da dieser die in Art. 12 des Bundesgesetzes über den Natur- und Heimatschutz vom 1. Juli 1966 (NHG; SR 451) genannten Voraussetzungen nicht erfüllt. Er stellt keine gesamtschweizerische Organisation dar, weshalb er nicht zur Verwaltungsgerichtsbeschwerde legitimiert ist.</w:t>
      </w:r>
    </w:p>
    <w:p>
      <w:r>
        <w:rPr>
          <w:b/>
        </w:rPr>
        <w:t>E. 1.3</w:t>
      </w:r>
    </w:p>
    <w:p>
      <w:r>
        <w:t>Die Verwaltungsgerichtsbeschwerde ist unter Vorbehalt der Ausnahmen gemäss Art. 99 - 102 OG zulässig gegen kantonal letztinstanzliche Verfügungen, die sich auf öffentliches Recht des Bundes stützen oder hätten stützen sollen ( Art. 97 OG in Verbindung mit Art. 5 VwVG ). Zu dem im Rahmen der Verwaltungsgerichtsbeschwerde überprüfbaren Bundesrecht gehört auch das Bundesverfassungsrecht, soweit die Rüge eine Angelegenheit betrifft, die in die Sachzuständigkeit der eidgenössischen Verwaltungsrechtspflegeinstanz fällt. Sodann sind im Verfahren der Verwaltungsgerichtsbeschwerde auf unselbständiges kantonales Ausführungsrecht zum Bundesrecht gestützte Anordnungen zu überprüfen sowie auf übrigem kantonalen Recht beruhende Anordnungen, die einen hinreichend engen Sachzusammenhang mit der im Rahmen der Verwaltungsgerichtsbeschwerde zu beurteilenden Frage des Bundesverwaltungsrechts aufweisen. Soweit hingegen dem angefochtenen Entscheid selbständiges kantonales Recht ohne den genannten Sachzusammenhang zum Bundesrecht zu Grunde liegt, steht ausschliesslich die staatsrechtliche Beschwerde zur Verfügung ( BGE 128 II 259 E. 1.2 S. 262; 126 II 171 E. 1a S. 173; 123 II 289 E. 1c S. 291, je mit Hinweisen). Eine mit Verwaltungsgerichtsbeschwerde anfechtbare Verfügung liegt nicht schon vor, wenn bei der Anwendung selbständigen kantonalen Rechts eine Bundesnorm zu beachten oder mit anzuwenden ist, sondern nur dann, wenn öffentliches Recht des Bundes die oder eine Grundlage der angefochtenen Verfügung bildet ( BGE 128 II 259 E. 1.2 S. 262; 127 II 1 E. 2b/aa S. 3 f. mit Hinweis). Zu prüfen ist vorab, ob im vorliegenden Fall eine Verfügung vorliegt, welche die zitierten Bedingungen erfüllt.</w:t>
      </w:r>
    </w:p>
    <w:p>
      <w:r>
        <w:rPr>
          <w:b/>
        </w:rPr>
        <w:t>E. 1.4</w:t>
      </w:r>
    </w:p>
    <w:p>
      <w:r>
        <w:t>Gemäss Art. 78 Abs. 1 BV sind für den Natur- und Heimatschutz die Kantone zuständig. Der Bund nimmt bei der Erfüllung seiner Aufgaben Rücksicht auf die Anliegen des Natur- und Heimatschutzes. Er schont Landschaften, Ortsbilder, geschichtliche Stätten sowie Natur- und Kunstdenkmäler; er erhält sie ungeschmälert, wenn das öffentliche Interesse es gebietet ( Art. 78 Abs. 2 BV ). Was unter der Erfüllung einer Bundesaufgabe im Sinne von Art. 78 Abs. 2 BV zu verstehen ist, führt Art. 2 des Bundesgesetzes über den Natur- und Heimatschutz vom 1. Juli 1966 (NHG; SR 451) in nicht abschliessender Weise aus: Dazu gehören insbesondere die Planung, Errichtung und Veränderung von Werken und Anlagen durch den Bund, seine Anstalten und Betriebe, wie Bauten und Anlagen der Bundesverwaltung, Nationalstrassen, Bauten und Anlagen der Schweizerischen Bundesbahnen ( Art. 2 Abs. 1 lit. a NHG ). Der Bund, seine Anstalten und Betriebe sowie die Kantone sorgen bei der Erfüllung der Bundesaufgaben dafür, dass das heimatliche Landschafts- und Ortsbild, geschichtliche Stätten sowie Natur- und Kulturdenkmäler geschont werden und, wo das allgemeine Interesse an ihnen überwiegt, ungeschmälert erhalten bleiben ( Art. 3 Abs. 1 NHG ). Wie die genannten Körperschaften dieser Pflicht im Einzelnen nachkommen, zeigt Art. 3 Abs. 2 NHG auf. Der Beschwerdeführer 1 vertritt sinngemäss die Auffassung, die kantonalen Instanzen hätten Art. 3 NHG verletzt.</w:t>
      </w:r>
    </w:p>
    <w:p>
      <w:r>
        <w:rPr>
          <w:b/>
        </w:rPr>
        <w:t>E. 1.5</w:t>
      </w:r>
    </w:p>
    <w:p>
      <w:r>
        <w:t>Wäre im vorliegenden Verfahren die Abbruchbewilligung der genannten SBB-Gebäulichkeiten streitig, so läge in der Tat eine Verfügung im Sinne von Art. 5 VwVG i.V.m. Art. 2 ff. NHG vor, welche im Rahmen eines Rechtsmittelverfahrens letztinstanzlich vom Bundesgericht zu überprüfen wäre. Im Streit liegt indessen die Verfügung der Baudirektion vom 4. Mai 2005, mit welcher der Güterbahnhof nicht unter kantonalrechtlichen Denkmalschutz gestellt und aus dem Inventar der kunst- und kulturhistorischen Schutzobjekte von kommunaler Bedeutung der Stadt Zürich entlassen wurde. Voraussetzung dafür ist, dass gestützt auf eine rechtskräftige Baubewilligung die Baufreigabe für das PJZ erteilt wird (Ziff. 1 des Dispositivs der Verfügung vom 4. Mai 2005). Streitgegenstand ist somit der verfügte Verzicht auf kantonale Schutzmassnahmen und die Entlassung des Güterbahnhofs aus dem kommunalen Inventar. Diese Massnahme stellt einen ersten Schritt dar bei der Realisierung des PJZ. Bau und Betrieb des geplanten Zentrums dienen der Erfüllung einer kantonalen, nicht einer Bundesaufgabe (siehe dazu die Beispiele aus der bundesgerichtlichen Rechtsprechung bei Peter Hänni, Planungs-, Bau- und besonderes Umweltschutzrecht, 4. Auflage, Bern 2002, S. 389 ff.). Der Entscheid der Baudirektion ist denn auch in Anwendung des neuen PJZG i.V.m. §§ 203 ff. des Planungs- und Baugesetzes vom 7. September 1975 (PBG/ZH; LS 700.1) ergangen, mithin vollumfänglich gestützt auf kantonales Recht. Daran ändert nichts, dass die SBB noch immer Eigentümerinnen des Grundstückes sind und dieses deshalb grundsätzlich nach wie vor unter die Bestimmungen des NHG fällt.</w:t>
      </w:r>
    </w:p>
    <w:p>
      <w:r>
        <w:rPr>
          <w:b/>
        </w:rPr>
        <w:t>E. 2</w:t>
      </w:r>
    </w:p>
    <w:p>
      <w:r>
        <w:t>Demzufolge ist auf die Verwaltungsgerichtsbeschwerde nicht einzutreten. Praxisgemäss werden gesamtschweizerischen ideellen Organisationen im bundesgerichtlichen Verfahren keine Kosten auferlegt. Es rechtfertigt sich, auch den Beschwerdeführer 2 von einer Kostentragung zu befreien. Indes haben die Beschwerdeführer die SBB als private Beschwerdegegnerinnen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