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1A.108/2000 vom 12. September 2000</w:t>
      </w:r>
    </w:p>
    <w:p>
      <w:r>
        <w:t>Bundesgericht, 2000-09-12, DE</w:t>
      </w:r>
    </w:p>
    <w:p>
      <w:r>
        <w:rPr>
          <w:b/>
        </w:rPr>
        <w:t xml:space="preserve">Quelle: </w:t>
      </w:r>
      <w:r>
        <w:t>https://mcp.opencaselaw.ch/entscheid/bger_1A.108_2000</w:t>
      </w:r>
    </w:p>
    <w:p>
      <w:r>
        <w:t>FR: TF 1A.108/2000 du 12 septembre 2000</w:t>
      </w:r>
    </w:p>
    <w:p>
      <w:r>
        <w:t>IT: TF 1A.108/2000 del 12 settembre 2000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Nach dem Gesagten ist die Beschwerde abzuweisen.</w:t>
      </w:r>
    </w:p>
    <w:p>
      <w:r>
        <w:t>Bei diesem Ausgang des Verfahrens wird die Beschwerdeführerin kostenpflichtig ( Art. 156 OG ), und es ist keine Parteientschädigung zuzusprechen ( Art. 159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