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1A.106/2001 vom 21. August 2001</w:t>
      </w:r>
    </w:p>
    <w:p>
      <w:r>
        <w:t>Bundesgericht, 2001-08-21, FR</w:t>
      </w:r>
    </w:p>
    <w:p>
      <w:r>
        <w:rPr>
          <w:b/>
        </w:rPr>
        <w:t xml:space="preserve">Quelle: </w:t>
      </w:r>
      <w:r>
        <w:t>https://mcp.opencaselaw.ch/entscheid/bger_1A.106_2001</w:t>
      </w:r>
    </w:p>
    <w:p>
      <w:r>
        <w:t>FR: TF 1A.106/2001 du 21 août 2001</w:t>
      </w:r>
    </w:p>
    <w:p>
      <w:r>
        <w:t>IT: TF 1A.106/2001 del 21 agosto 2001</w:t>
      </w:r>
    </w:p>
    <w:p>
      <w:pPr>
        <w:pStyle w:val="Heading2"/>
      </w:pPr>
      <w:r>
        <w:t>Regeste</w:t>
      </w:r>
    </w:p>
    <w:p>
      <w:r>
        <w:t>Entraide et extradition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décision affectant les biens de l'extradé à la couverture des frais ( art. 62 al. 2 EIMP ) peut être attaquée par la voie du recours de droit administratif ( art. 25 al. 1 EIMP ; ATF 125 IV 30 consid. 1b p. 32/33; arrêt non publié B. du 15 février 1999, consid. 1).</w:t>
      </w:r>
    </w:p>
    <w:p>
      <w:r>
        <w:rPr>
          <w:b/>
        </w:rPr>
        <w:t>E. 2</w:t>
      </w:r>
    </w:p>
    <w:p>
      <w:r>
        <w:t>Le recourant conteste devoir supporter les frais afférant à sa détention du 2 novembre 2000 au 8 décembre 2000. Il fait valoir que durant cette période, allant de sa demande de libération provisoire adressée à l'Office fédéral jusqu'à sa libération provisoire effective, sa détention aurait été illégale. a) Si, par son arrêt du 5 décembre 2000, la Chambre d'accusation a ordonné la libération provisoire du recourant moyennant le versement d'une caution, le dépôt de ses documents d'identité et l'obligation de se soumettre à un contrôle de sa présence, ce n'est pas parce qu'elle a tenu la détention extraditionnelle pour injustifiée. La Chambre d'accusation a simplement émis le pronostic que des mesures moins incisives que la détention pouvaient atteindre le même but. Elle a en outre subordonné la libération provisoire à des conditions. Si celles-ci n'avaient été remplies, le recourant n'aurait pas été remis en liberté. b) Le recourant invoque l' art. 5 CEDH , en vain. Cette disposition, qui n'est pas applicable à la détention préventive (cf. ATF 125 I 170 consid. 2c p. 172), ne l'est pas davantage à la détention extraditionnelle.</w:t>
      </w:r>
    </w:p>
    <w:p>
      <w:r>
        <w:rPr>
          <w:b/>
        </w:rPr>
        <w:t>E. 3</w:t>
      </w:r>
    </w:p>
    <w:p>
      <w:r>
        <w:t>Le recourant conteste la mise à sa charge des frais médicaux (en l'occurrence, le frais d'opticien). a) Les frais affectables selon l' art. 62 al. 2 EIMP , comprennent les frais de détention et de transport selon l'al. 1 de cette disposition. On ne saurait sérieusement prétendre que les frais de détention n'inclueraient pas les frais médicaux à prodiguer à la personne placée en détention extraditionnelle. Que l' art. 13 al. 2 let . d OEIMP prévoie que ces frais sont pris en charge par la Confédération n'exclut pas pour autant qu'ils puissent être reportés sur le recourant. b) Les autres arguments que celui-ci soulève, tirés de l' art. 6 CEDH et des standards internationaux applicables aux détenus, sont hors de propos. Le recourant ne prétend pas ne pas avoir reçu les soins qu'il a réclamés. Il ne soutient pas davantage que le fait d'en mettre les frais à sa charge l'aurait empêché d'être soigné ou que le montant de ces frais l'aurait dissuadé de les engager.</w:t>
      </w:r>
    </w:p>
    <w:p>
      <w:r>
        <w:rPr>
          <w:b/>
        </w:rPr>
        <w:t>E. 4</w:t>
      </w:r>
    </w:p>
    <w:p>
      <w:r>
        <w:t>Le recours doit ainsi être rejeté. Les frais en sont mis à la charge du recourant ( art. 156 OJ ). Il n'y a pas lieu d'allouer des dépens ( art. 159 OJ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