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1A.105/2006 vom 29. Mai 2006</w:t>
      </w:r>
    </w:p>
    <w:p>
      <w:r>
        <w:t>Bundesgericht, 2006-05-29, IT</w:t>
      </w:r>
    </w:p>
    <w:p>
      <w:r>
        <w:rPr>
          <w:b/>
        </w:rPr>
        <w:t xml:space="preserve">Quelle: </w:t>
      </w:r>
      <w:r>
        <w:t>https://mcp.opencaselaw.ch/entscheid/bger_1A.105_2006</w:t>
      </w:r>
    </w:p>
    <w:p>
      <w:r>
        <w:t>FR: TF 1A.105/2006 du 29 mai 2006</w:t>
      </w:r>
    </w:p>
    <w:p>
      <w:r>
        <w:t>IT: TF 1A.105/2006 del 29 maggio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La tassa di giustizia di fr. 2'000.-- è posta a carico del ricorrente.</w:t>
      </w:r>
    </w:p>
    <w:p>
      <w:r>
        <w:rPr>
          <w:b/>
        </w:rPr>
        <w:t>E. 3</w:t>
      </w:r>
    </w:p>
    <w:p>
      <w:r>
        <w:t>Comunicazione al patrocinatore del ricorrente e all'Ufficio federale di giustizia, Divisione assistenza giudiziaria internazionale, Sezione estradizioni (B 0052282).</w:t>
      </w:r>
    </w:p>
    <w:p>
      <w:r>
        <w:t>Losanna, 29 maggio 2006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