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1A.102/2000 vom 10. April 2000</w:t>
      </w:r>
    </w:p>
    <w:p>
      <w:r>
        <w:t>Bundesgericht, 2000-04-10, DE</w:t>
      </w:r>
    </w:p>
    <w:p>
      <w:r>
        <w:rPr>
          <w:b/>
        </w:rPr>
        <w:t xml:space="preserve">Quelle: </w:t>
      </w:r>
      <w:r>
        <w:t>https://mcp.opencaselaw.ch/entscheid/bger_1A.102_2000</w:t>
      </w:r>
    </w:p>
    <w:p>
      <w:r>
        <w:t>FR: TF 1A.102/2000 du 10 avril 2000</w:t>
      </w:r>
    </w:p>
    <w:p>
      <w:r>
        <w:t>IT: TF 1A.102/2000 del 10 aprile 2000</w:t>
      </w:r>
    </w:p>
    <w:p>
      <w:pPr>
        <w:pStyle w:val="Heading2"/>
      </w:pPr>
      <w:r>
        <w:t>Regeste</w:t>
      </w:r>
    </w:p>
    <w:p>
      <w:r>
        <w:t>Rechtshilfe und Auslieferung</w:t>
      </w:r>
    </w:p>
    <w:p>
      <w:pPr>
        <w:pStyle w:val="Heading2"/>
      </w:pPr>
      <w:r>
        <w:t>Erwägungen</w:t>
      </w:r>
    </w:p>
    <w:p>
      <w:r>
        <w:rPr>
          <w:b/>
        </w:rPr>
        <w:t>E. 4</w:t>
      </w:r>
    </w:p>
    <w:p>
      <w:r>
        <w:t>Aufl. , Basel 1999, § 91 Rz. 24; Franz Riklin, Die Regelung des Abwesenheitsverfahrens in der Schweiz aus der Sicht der EMRK, in: Beiträge zum europäischen Recht, Festgabe zum Schweizerischen Juristentag 1993, Freiburg/Ue. 1993, S. 331 ff.; Claude Rouiller, L'effet dynamique de la Convention européenne des droits de l'homme, ZStrR 109 [1992] 233 ff., 235 f.). Nach Ablauf der für die ordentlichen Rechtsmittel geltenden Fristen wird das Abwesenheitsurteil lediglich auflösend bedingt (nämlich unter Vorbehalt der Wiederaufnahme) rechtskräftig ( BGE 122 IV 344 E. 3a S. 347). Die Resolution DH (75) 11 des Ministerkomitees des Europarates vom 21. Mai 1975 über die Grundsätze bei der Durchführung von Strafverfahren in Abwesenheit des Angeklagten (VPB 1984 Nr. 107) empfiehlt ein Rechtsmittel zur Aufhebung des Kontumazialurteils für Fälle, bei denen der in Abwesenheit Verurteilte nicht ordnungsgemäss vorgeladen wurde (Ziff. I/8). Die Vorladung kann durch öffentliche Publikation (Ediktalladung) erfolgen, falls die Adresse des Angeklagten nicht ausfindig gemacht werden konnte (EGMR vom 12. Februar 1985 i.S. Colozza und Rubinat c. I, EuGRZ 1985 S. 634 f. Ziff. 28). b) Dass der Beschwerdeführer, wie er geltend macht, "in Abwesenheit, das heisst ohne Gewährung des rechtlichen Gehörs", verurteilt wurde, hält grundsätzlich vor der EMRK stand. Wie dargelegt, lässt diese eine strafrechtliche Verurteilung in absentiam (und insofern zwangsläufig ohne Anhörung des Angeklagten) zu, sofern der in Abwesenheit Verurteilte die Aufhebung des Kontumazialurteils und die Durchführung des ordentlichen Verfahrens verlangen kann. Auch eine anwaltliche Verbeiständung während des Abwesenheitsverfahrens schreibt die EMRK nicht apriori vor. Ebensowenig lässt die Höhe des im Abwesenheitsurteil ausgefällten Strafmasses von 10 Jahren Freiheitsstrafe das Urteil als grundrechtswidrig erscheinen. Auch aus dem Umstand, wonach der Beschwerdeführer die ihn belastenden Gewährspersonen nicht habe befragen können, und diese sich "bereits wieder in Kolumbien" befänden, folgt keine Grundrechtswidrigkeit des Abwesenheitsurteils. Ebensowenig wäre der Auffassung zu folgen, ein EMRK-konformes neues Verfahren in Frankreich könne zum Vornherein "gar nicht mehr möglich sein". Die Vermutung, belastende Gewährspersonen könnten mit dem Beschwerdeführer womöglich nicht mehr konfrontiert werden, hindert die französischen Behörden keineswegs daran, ein grundrechtskonformes neues Verfahren durchzuführen. Bei dieser Sachlage sind die Voraussetzungen für eine an besondere Bedingungen geknüpfte Auslieferung (förmliche Zusicherung eines neuen Gerichtsverfahrens im Sinne von Art. 37 Abs. 2 IRSG bzw. Art. 3 Ziff. 1 des Zweiten Zusatzprotokolles zum EAUe) hier nicht erfüllt. c) Darüber hinaus hat die ersuchende Behörde (Procureur de la République près le Tribunal de Grande Instance de Bobigny) mit Schreiben vom 16. Juli 1999 folgende Erklärung abgegeben: "S'il" (i.e. der Beschwerdeführer) "forme opposition, le jugement du 9 juin 1998 sera considéré comme non avenu. Monsieur X.________ comparaîtra dans le délai maximum de 8 jours devant le Tribunal Correctionnel de Bobigny en état de détention provisoire et avec l'assistance d'un avocat s'il en fait la demande. Il sera jugé à nouveau par cette jurisdiction". Diese Zusicherung erschiene ausreichend im Sinne von Art. 37 Abs. 2 IRSG und Art. 3 Ziff. 1 des Zweiten Zusatzprotokolles zum EAUe, soweit die betreffenden Bestimmungen überhaupt anwendbar wären. Ein Anspruch des Beschwerdeführers auf eine weitergehende "ausdrückliche Zusicherung" (wonach er "einzig aufgrund seines Begehrens und ohne weitere Bedingungen [z.B. Entschuldigungsgründe für die Abwesenheit] ein neues Verfahren verlangen kann"), wäre weder im EAUe noch im IRSG vorgesehen. Über das blosse Wiederaufnahmebegehren ("opposition") hinaus werden in der Erklärung der ersuchenden Behörde auch keine "weiteren Bedingungen" für die Wiederaufnahme des Verfahrens genannt. d) Entgegen der Auffassung des Beschwerdeführers hat der schweizerische Rechtshilferichter auch nicht zu prüfen, ob das ausländische Strafurteil, auf das sich das Auslieferungsersuchen stützt, materiell zutreffend erscheint oder nicht. Ausnahmen von diesem Grundsatz rechtfertigen sich nur, wenn es darum geht, einer offensichtlich unschuldigen Person die Strafverfolgung bzw. Strafvollstreckung zu ersparen (vgl. BGE 123 II 279 E. 2b S. 281). Dies ist hier nicht der Fall.</w:t>
      </w:r>
    </w:p>
    <w:p>
      <w:r>
        <w:rPr>
          <w:b/>
        </w:rPr>
        <w:t>E. 6</w:t>
      </w:r>
    </w:p>
    <w:p>
      <w:r>
        <w:t>Unbegründet ist sodann die Rüge, das Auslieferungsersuchen genüge den formellen Anforderungen des EAUe nicht, da die Sachdarstellung der ersuchenden Behörde ungenügend sei und darin nicht erwähnt werde, "wo und wann" sich das inkriminierte Verhalten "abgespielt haben soll". Art. 12 Ziff. 2 lit. b EAUe verlangt zwar eine "Darstellung der Handlungen derentwegen um Auslieferung ersucht wird". Zeit und Ort ihrer Begehung sowie ihre rechtliche Würdigung unter Bezugnahme auf die anwendbaren Gesetzesbestimmungen sind jedoch nur "so genau wie möglich" anzugeben. Das Ersuchen und dessen Beilagen erfüllen diese formellen Anforderungen. Im Begleitschreiben des Procureur de la République près le Tribunal de Grande Instance de Bobigny vom 16. Juli 1999 wird dargelegt, dass zwei mitangeschuldigte Landsleute des Beschwerdeführers am 27. Juli 1997 von den Zollbehörden des Flughafens Roissy/F festgenommen worden seien. Bei der Durchsuchung ihres Gepäckes seien 205 Kokainkugeln mit einem Gesamtgewicht von 2'217 g sichergestellt worden. Während seiner Inhaftierung habe einer der Verdächtigen weitere 27 Kugeln mit insgesamt 280 g Kokain ausgeschieden. Der gleiche Mitangeschuldigte habe den Beschwerdeführer aufgrund einer Photokonfrontation ausdrücklich als Auftraggeber des Drogentransportes identifiziert. Das Tribunal Correctionnel de Bobigny habe den Beschwerdeführer am 9. Juni 1998 wegen Drogen- und Zolldelikten in Abwesenheit zu 10 Jahren Freiheitsstrafe verurteilt. Das Urteil liegt dem Ersuchen bei. In den Gesuchsbeilagen werden auch die anwendbaren Strafbestimmungen des französischen Rechts aufgelistet. 7.-Schliesslich rügt der Beschwerdeführer auch noch einen Verstoss gegen Art. 5 EAUe , da "eine Auslieferung für ein Zollvergehen nicht zulässig" sei. Art. 5 EAUe bestimmt, dass in Abgaben-, Steuer-, Zoll- und Devisenstrafsachen die Auslieferung nach den Bedingungen des EAUe nur gewährt wird, wenn dies zwischen den Vertragsparteien für einzelne oder Gruppen von strafbaren Handlungen dieser Art vereinbart worden ist. Aus dem Ersuchen und seinen Beilagen geht hervor, dass dem Beschwerdeführer die Teilnahme an der illegalen Einfuhr von Drogen auf dem Luftweg von Kolumbien nach Frankreich vorgeworfen wird. Dabei handelt es sich um ein auslieferungsfähiges gemeinstrafrechtliches Delikt im Sinne von Art. 2 Ziff. 1 EAUe (vgl. BGE 117 Ib 337 E. 4 S. 342 f.). Dass die illegale Drogeneinfuhr nicht nur gegen das französische Betäubungsmittelstrafrecht verstösst, sondern gleichzeitig auch noch gegen einschlägige Zollvorschriften, lässt das dem Beschwerdeführer vorgeworfene Verhalten nicht als fiskalische strafbare Handlung im Sinne von Art. 5 EAUe erscheinen. Anders zu entscheiden wäre allenfalls nur, wenn dem Beschwerdeführer neben der Drogeneinfuhr separate inkriminierte Sachverhalte vorgeworfen würden, welche lediglich als Zollvergehen geahndet werden könnten (vgl. BGE 110 Ib 187 E. 3c S. 188 f.). 8.-Zusammenfassend ergibt sich, dass die Beschwerde als unbegründet abzuweisen ist. Der Beschwerdeführer stellt das Gesuch um unentgeltliche Rechtspflege. Da die gesetzlichen Voraussetzungen erfüllt sind und namentlich die Bedürftigkeit des Gesuchstellers ausreichend dargetan erscheint, kann dem Begehren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