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1A.101/2003 vom 7. Oktober 2003</w:t>
      </w:r>
    </w:p>
    <w:p>
      <w:r>
        <w:t>Bundesgericht, 2003-10-07, DE</w:t>
      </w:r>
    </w:p>
    <w:p>
      <w:r>
        <w:rPr>
          <w:b/>
        </w:rPr>
        <w:t xml:space="preserve">Quelle: </w:t>
      </w:r>
      <w:r>
        <w:t>https://mcp.opencaselaw.ch/entscheid/bger_1A.101_2003</w:t>
      </w:r>
    </w:p>
    <w:p>
      <w:r>
        <w:t>FR: TF 1A.101/2003 du 7 octobre 2003</w:t>
      </w:r>
    </w:p>
    <w:p>
      <w:r>
        <w:t>IT: TF 1A.101/2003 del 7 ottobre 2003</w:t>
      </w:r>
    </w:p>
    <w:p>
      <w:pPr>
        <w:pStyle w:val="Heading2"/>
      </w:pPr>
      <w:r>
        <w:t>Erwägungen</w:t>
      </w:r>
    </w:p>
    <w:p>
      <w:r>
        <w:rPr>
          <w:b/>
        </w:rPr>
        <w:t>E. 1</w:t>
      </w:r>
    </w:p>
    <w:p>
      <w:r>
        <w:t>Angefochten ist ein Zwischenentscheid über die Wiederherstellung der aufschiebenden Wirkung und den Erlass anderer vorsorglicher Massnahmen, der im Beschwerdeverfahren betreffend die Genehmigung einer Änderung des Betriebsreglementes für den Flughafen Zürich gefällt worden ist. Eine solche Zwischenverfügung unterliegt, wie bereits im Urteil 1A.47-52/2003 vom 4. April 2003 festgehalten worden ist, grundsätzlich der Verwaltungsgerichtsbeschwerde.</w:t>
      </w:r>
    </w:p>
    <w:p>
      <w:r>
        <w:rPr>
          <w:b/>
        </w:rPr>
        <w:t>E. 2</w:t>
      </w:r>
    </w:p>
    <w:p>
      <w:r>
        <w:t>Die Parteien und das BAZL wenden gegen eine Abschreibung des Verfahrens ein, dass die verschiedenen provisorischen Änderungen des Betriebsreglementes als Ergänzungen zu betrachten seien und nicht als neue Regelungen, die an die Stelle der früheren Bestimmungen träten. Die einzelnen Schritte hätten jeweils zu einer Mehrbelastung der Anwohner geführt, wobei die frühere Belastung weiterbestanden habe. Dieser "Kaskadenaufbau" würde es auch ermöglichen, dass beim Dahinfallen einer Anflugsregelung automatisch wieder eine frühere Landeordnung Anwendung finden könnte. Die früheren Beschwerdeverfahren dürften daher nicht als gegenstandslos geworden abgeschrieben werden, da sonst die auch in den Übergangsbestimmungen vorgesehene Möglichkeit des Wiederauflebens früheren Regelungen wegfallen würde.</w:t>
      </w:r>
    </w:p>
    <w:p>
      <w:r>
        <w:t>Diesen Auffassungen ist Folgendes entgegenzuhalten:</w:t>
      </w:r>
    </w:p>
    <w:p>
      <w:r>
        <w:rPr>
          <w:b/>
        </w:rPr>
        <w:t>E. 2.1</w:t>
      </w:r>
    </w:p>
    <w:p>
      <w:r>
        <w:t>Es trifft zwar zu, dass mit der ersten provisorischen Änderung des Betriebsreglementes vom 18. Oktober 2001 die Ostanflüge auf die Piste 28 in den Nachtstunden eingeführt und diese Anflugsregelung - zu Lasten stets der gleichen Anwohner - durch die folgenden zwei provisorischen Änderungen vom 15. Oktober 2002 und 16. April 2003 auf die Abend- und Morgenstunden ausgedehnt worden ist. Insoweit sind tatsächlich bausteinartige Anpassungen des Betriebsreglementes an die staatsvertraglichen bzw. ins deutsche Recht aufgenommenen Vorgaben erfolgt. Mit der Genehmigung von Südanflügen auf die Piste 34 und der Aufteilung des Landeverkehrs in den Morgen- und Abend- bzw. Nachtstunden auf die Pisten 28 und 34 wird jedoch eine neue, andersartige Regelung getroffen, die die bisherige Landeordnung nicht (zeitlich) ergänzt, sondern (zumindest grösstenteils) ersetzt. Dies trifft jedenfalls für jene Artikel des Betriebsreglementes zu, die in den Beschwerdeverfahren umstritten sind. Die neue Anflugsordnung vom 23. Juni 2003 berührt denn auch lärmmässig nicht nur die schon bisher belasteten Anwohner, sondern schafft neue Lärmbetroffene, während sie die bis anhin Betroffenen entlastet. Würden daher gewisse Einschränkungen für die Benützung des süddeutschen Luftraums entfallen, so könnte nicht einfach davon ausgegangen werden, dass sich der Anflugverkehr "automatisch" wieder nach dem Betriebsreglement, Stand 16. April 2003, richte, sondern wäre neu zu prüfen und zu entscheiden, ob und inwiefern die Aufteilung des Landeverkehrs beizubehalten wäre.</w:t>
      </w:r>
    </w:p>
    <w:p>
      <w:r>
        <w:rPr>
          <w:b/>
        </w:rPr>
        <w:t>E. 2.2</w:t>
      </w:r>
    </w:p>
    <w:p>
      <w:r>
        <w:t>Ein "automatischer Rückfall" auf einen früheren Stand des Betriebsreglementes müsste auch aus Gründen der Rechtssicherheit und des Rechtsschutzes ausgeschlossen werden. In diesem Zusammenhang ist daran zu erinnern, dass keine einzige der provisorischen Änderungen des Betriebsreglementes vom 31. Mai 2001 und auch dieses selbst (noch) nicht in Rechtskraft erwachsen ist. Die heute bereits kaum mehr überschaubare rechtliche Situation, die wie gesagt auf vier provisorischen, nicht rechtskräftigen Änderungen eines noch nicht rechtskräftigen Betriebsreglementes beruht, würde durch den von den Beschwerdegegnern in Aussicht genommenen Rückfall-Mechanismus noch undurchsichtiger. Unklar ist auch, ob nach Auffassung der Beschwerdegegner eine frühere Regelung gegebenenfalls einfach wieder aufleben soll, ohne dass ein weiteres Verfahren durchzuführen wäre und ohne dass sich die inzwischen vom Fluglärm teilweise Entlasteten gegen den Rückschritt zur Wehr setzen könnten. Es ist jedoch nicht ersichtlich, weshalb weitere provisorische Änderungen des Betriebsreglementes nicht auch im Verfahren nach Art. 36d LFG verfügt werden müssten, selbst wenn diese Änderung nur in der Wiederaufnahme einer früheren Anflugsordnung bestünde. Dies würde übrigens nicht ausschliessen, dass in den zusätzlichen Verfahren auf Unterlagen und Ergebnisse abgestellt werden könnte, die seinerzeit erarbeitet wurden.</w:t>
      </w:r>
    </w:p>
    <w:p>
      <w:r>
        <w:rPr>
          <w:b/>
        </w:rPr>
        <w:t>E. 2.3</w:t>
      </w:r>
    </w:p>
    <w:p>
      <w:r>
        <w:t>Schliesslich ist darauf hinzuweisen, dass die Möglichkeit eines dem schrittweisen Aufbau folgenden Rückbaus der Anflugsregelung bedingen würde, dass die richterliche Überprüfung diesem Auf- bzw. Rückbau folgt. Die Gerichtsbehörden haben jedoch u.a. das Gebot der Prozessökonomie zu befolgen und unnötige Belastungen durch "Prozesskaskaden" zu vermeiden, soweit dies die verfahrensrechtlichen Vorschriften erlauben. Der Richter kann daher auch nicht zur Überprüfung einer bereits überholten Regelung angehalten werden, bloss weil die Aussicht besteht, dass diese möglicherweise später wieder aufleben könnte.</w:t>
      </w:r>
    </w:p>
    <w:p>
      <w:r>
        <w:rPr>
          <w:b/>
        </w:rPr>
        <w:t>E. 3</w:t>
      </w:r>
    </w:p>
    <w:p>
      <w:r>
        <w:t>Nach dem Gesagten ist die vorliegende Verwaltungsgerichtsbeschwerde jedenfalls insofern gegenstandslos geworden, als die Stadt Kloten die Wiederherstellung der aufschiebenden Wirkung ihrer Beschwerde mit der Begründung verlangt hat, dass die Piste 28 in den Nacht- und Nachtrandstunden nicht als einzige oder Haupt-Landepiste dienen dürfe. Ob und inwiefern auch das bei der Rekurskommission UVEK in der Sache hängige Beschwerdeverfahren als gegenstandslos geworden abgeschrieben werden kann, hat diese selbst zu entscheiden. Soweit übrigens die Befürchtung der Flughafen Zürich AG als begründet erachtet würde, wonach die Ostanflüge auf die Piste 28 bei Gegenstandsloswerden der früheren Verfahren eingestellt werden müssten, weil insofern den Beschwerden gegen die Verfügung vom 23. Juni 2003 die aufschiebende Wirkung nicht entzogen worden ist, so hätte die Beschwerdeinstanz selber die Möglichkeit, diese vorsorgliche Massnahme auf die ganze neue Anflugregelung auszudehnen (vgl. Art. 55 Abs. 2 VwVG ). Die Anordnung einstweiliger Vorkehren zur Sicherung der Ostanflüge ist im vorliegenden bundesgerichtlichen Verfahren nicht erforderlich.</w:t>
      </w:r>
    </w:p>
    <w:p>
      <w:r>
        <w:rPr>
          <w:b/>
        </w:rPr>
        <w:t>E. 4</w:t>
      </w:r>
    </w:p>
    <w:p>
      <w:r>
        <w:t>Nicht gegenstandslos geworden ist dagegen die Verwaltungsgerichtsbeschwerde insofern, als das Begehren der Stadt Kloten um sofortige Einführung der "gekröpften" Nordanflüge während der Nacht- und Morgenstunden als vorsorgliche Massnahmen abgewiesen worden ist und dieser Antrag vor Bundesgericht wiederholt wird. Nun hat der Präsident der Rekurskommission UVEK im angefochtenen Entscheid gestützt auf die Angaben des BAZL als Fachbehörde klar festgehalten, dass das verlangte Anflugverfahren zuerst technisch entwickelt und nach internationalen Standards zertifiziert sowie in einem Betriebsreglementsänderungsverfahren geprüft und genehmigt werden müsste. Das BAZL und die Flughafen Zürich AG haben auch im bundesgerichtlichen Verfahren überzeugend dargelegt, dass es weiterer Instrumentierung bedürfte, um ein leistungsfähiges und gesichertes Anflugverfahren zu gewährleisten, welches die geltenden Verfahren zu ersetzen vermöchte. Daran vermag nichts zu ändern, dass - wie die Beschwerdeführerin geltend macht - bei guten Sichtverhältnissen solche "gekröpften" Anflüge möglich und schon vereinzelt durchgeführt worden sind. Im Weiteren ergibt sich aus den bereits angestellten Erwägungen, dass die verlangte (provisorische) Änderung der Anflugsordnung nur im Rahmen eines Verfahrens gemäss Art. 36d LFG verfügt werden könnte, was deren Anordnung als vorsorgliche Massnahme im Beschwerdeverfahren zum vornherein ausschliesst. Die Verwaltungsgerichtsbeschwerde ist daher in diesem Punkte ohne weiteres als unbegründet abzuweisen.</w:t>
      </w:r>
    </w:p>
    <w:p>
      <w:r>
        <w:rPr>
          <w:b/>
        </w:rPr>
        <w:t>E. 5</w:t>
      </w:r>
    </w:p>
    <w:p>
      <w:r>
        <w:t>Dem Ausgang des Verfahrens entsprechend ist die Beschwerdeführerin zu verpflichten, der Flughafen Zürich AG für das bundesgerichtliche Verfahren eine angemessene Parteientschädigung zu entrichten ( Art. 159 Abs. 1 und 2 OG ). Auf die Erhebung einer Gerichtsgebühr ist aufgrund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