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12T_3/2009 vom 22. Oktober 2009</w:t>
      </w:r>
    </w:p>
    <w:p>
      <w:r>
        <w:t>Bundesgericht, 2009-10-22, DE</w:t>
      </w:r>
    </w:p>
    <w:p>
      <w:r>
        <w:rPr>
          <w:b/>
        </w:rPr>
        <w:t xml:space="preserve">Quelle: </w:t>
      </w:r>
      <w:r>
        <w:t>https://mcp.opencaselaw.ch/entscheid/bger_12T_3_2009</w:t>
      </w:r>
    </w:p>
    <w:p>
      <w:r>
        <w:t>FR: TF 12T_3/2009 du 22 octobre 2009</w:t>
      </w:r>
    </w:p>
    <w:p>
      <w:r>
        <w:t>IT: TF 12T_3/2009 del 22 ottobre 2009</w:t>
      </w:r>
    </w:p>
    <w:p>
      <w:pPr>
        <w:pStyle w:val="Heading2"/>
      </w:pPr>
      <w:r>
        <w:t>Erwägungen</w:t>
      </w:r>
    </w:p>
    <w:p>
      <w:r>
        <w:rPr>
          <w:b/>
        </w:rPr>
        <w:t>E. 1</w:t>
      </w:r>
    </w:p>
    <w:p>
      <w:r>
        <w:t>Die Eidgenössische Finanzkontrolle teilte dem Bundesgericht mit Brief vom 3. September 2009 mit, dass das Bundesverwaltungsgericht am Arbeitsort Zollikofen den Ortszuschlag Stufe 13 statt Stufe 12 ausrichtet, und beantragte dem Bundesgericht, mittels Weisung dafür zu sorgen, dass das Bundesverwaltungsgericht die gesetzmässige Ortszulage auszahle.</w:t>
      </w:r>
    </w:p>
    <w:p>
      <w:r>
        <w:rPr>
          <w:b/>
        </w:rPr>
        <w:t>E. 2</w:t>
      </w:r>
    </w:p>
    <w:p>
      <w:r>
        <w:t>Das Bundesgericht lud das Bundesverwaltungsgericht nach Einholen einer Stellungnahme am 7. Oktober 2009 ein, die nötige Anordnung selbst zu treffen. Am 19. Oktober 2009 teilte das Bundesverwaltungsgericht dem Bundesgericht mit, die Verwaltungskommission habe entschieden, ab dem 1. November 2009 für den Arbeitsort Zollikofen den Ortszuschlag Stufe 12 auszuzahlen. Damit wird das Aufsichtsverfahren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