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12T_1/2016 vom 6. April 2016</w:t>
      </w:r>
    </w:p>
    <w:p>
      <w:r>
        <w:t>Bundesgericht, 2016-04-06, DE</w:t>
      </w:r>
    </w:p>
    <w:p>
      <w:r>
        <w:rPr>
          <w:b/>
        </w:rPr>
        <w:t xml:space="preserve">Quelle: </w:t>
      </w:r>
      <w:r>
        <w:t>https://mcp.opencaselaw.ch/entscheid/bger_12T_1_2016</w:t>
      </w:r>
    </w:p>
    <w:p>
      <w:r>
        <w:t>FR: TF 12T_1/2016 du 6 avril 2016</w:t>
      </w:r>
    </w:p>
    <w:p>
      <w:r>
        <w:t>IT: TF 12T_1/2016 del 6 aprile 2016</w:t>
      </w:r>
    </w:p>
    <w:p>
      <w:pPr>
        <w:pStyle w:val="Heading2"/>
      </w:pPr>
      <w:r>
        <w:t>Erwägungen</w:t>
      </w:r>
    </w:p>
    <w:p>
      <w:r>
        <w:rPr>
          <w:b/>
        </w:rPr>
        <w:t>E. 1</w:t>
      </w:r>
    </w:p>
    <w:p>
      <w:r>
        <w:t>Beim vorliegenden Verfahren handelt es sich um eine Aufsichtsanzeige im Sinne von Art. 1 Abs. 2Bundesgerichtsgesetz (BGG; SR 173.110), Art. 3 lit. f Aufsichtsreglement des Bundesgerichts (AufRBGer; SR 173.110.132) und Art. 3 Abs. 1 Verwaltungsgerichtsgesetz (VGG; SR 173.32) i.V.m. Art. 71 Abs. 1 Bundesgesetz über das Verwaltungsverfahren (VwVG; SR 172.021).</w:t>
      </w:r>
    </w:p>
    <w:p>
      <w:r>
        <w:rPr>
          <w:b/>
        </w:rPr>
        <w:t>E. 2</w:t>
      </w:r>
    </w:p>
    <w:p>
      <w:r>
        <w:t>Der Anzeiger beschränkt seine Aufsichtsanzeige ausdrücklich auf die mögliche Verletzung der Koordinationspflicht der Abteilungen IV und V des Bundesverwaltungsgerichts betreffend der Umsetzung des Übereinkommens vom 20. November 1989 über die Rechte des Kindes, insbesondere der Artikel 2, 3 und 12 (nachfolgend: KRK, SR 0.107). Er macht geltend, das Bundesverwaltungsgericht unterlasse die administrativen Massnahmen zur Vermeidung von sich widerstreitenden Urteilen. Dabei beruft er sich aus dem Zeitraum vom 17. März 2014 bis zum 13. Januar 2016 auf die Verfahren 1 bis 4 vor dem Bundesverwaltungsgericht, in welchen er als Parteivertreter gewirkt und in denen es um das Recht auf Anhörung von urteilsfähigen Kindern im Asylverfahren ging. Die Entscheide der Abteilungen IV und V des Bundesverwaltungsgerichts würden im Falle von Kindergesuchen bei gleichen Sachverhalten ein äusserst weites Spektrum umfassen, was die Rechtsgleichheit der Kinder verletzen würde und die Voraussehbarkeit der Entscheide stark einschränke. Das Bundesverwaltungsgericht wende unter anderem eine unterschiedliche Rechtspraxis in Bezug auf das in Art. 12 KRK normierte Recht auf Anhörung von Kindern im Verwaltungsverfahren an. Dabei geht es hauptsächlich um Verfahren, in welchen urteilsfähigen Kindern von Eltern mit abgewiesenem Asylgesuch im Laufe des elterlichen Asylverfahrens keine Partizipationsrechte gewährt worden seien.</w:t>
      </w:r>
    </w:p>
    <w:p>
      <w:r>
        <w:t>Der Anzeiger verweist dabei auf das Verfahren 1. Das Bundesverwaltungsgericht habe in diesem Entscheid erwogen, dass Kinder zu befragen seien, wenn ein oder beide Elternteile ein Asylgesuch gestellt haben und dieses abgelehnt wurde und das im Asylverfahren der Eltern nicht angehörte Kind dann später bzw. nach Erlangen der Urteilsfähigkeit ein eigenes Asylgesuch stelle. Auch im Verfahren 4 sei dieses Recht implizit bejaht worden. Der Anzeiger beanstandet, dass demgegenüber im Verfahren 3 die Beschwerde betreffend die verweigerte Anhörung urteilsfähiger Kinder an das SEM rücküberwiesen wurde, woraufhin eine diesbezüglich abschlägige Verfügung erging. Im darauf folgenden Beschwerdeverfahren sei die Beschwerde als aussichtslos erachtet worden, obschon das rechtliche Gehör im Sinne von Art. 12 KRK im vorinstanzlichen Verfahren unheilbar verletzt worden sei. Schliesslich sei im Verfahren 2 eine Mitteilungspflicht einer in der Schweiz angeordneten Kindesschutzmassnahme an die ausländische Kindesschutzbehörde verneint worden, während eine solche implizit im Verfahren 4 zu entnehmen sei.</w:t>
      </w:r>
    </w:p>
    <w:p>
      <w:r>
        <w:rPr>
          <w:b/>
        </w:rPr>
        <w:t>E. 3</w:t>
      </w:r>
    </w:p>
    <w:p>
      <w:r>
        <w:t>Eine unzulängliche Organisation oder Durchführung der Koordination der Rechtsprechung am Bundesverwaltungsgericht fällt grundsätzlich in die aufsichtsrechtliche Kompetenz des Bundesgerichts. Zwar liegt die Einheitlichkeit der Rechtsprechung im Grenzbereich zwischen Rechtsprechung und administrativer Aufsicht. Ob die Rechtsprechung im konkreten Fall entsprechend dem Geschäftsreglement durchgeführt wird und diese zweckmässig organisiert ist, fällt jedoch in den der Aufsicht des Bundesgerichts unterstehenden Bereich der Organisation und Geschäftsführung. Inwieweit die Einheitlichkeit der Rechtsprechung als solche Prüfungsgegenstand der Aufsichtsbeschwerde ans Bundesgericht sein kann, hat das Bundesgericht dagegen offengelassen ( BGE 135 II 429 ).</w:t>
      </w:r>
    </w:p>
    <w:p>
      <w:r>
        <w:t>Ein aufsichtsrechtlich relevantes Koordinationsproblem liegt gemäss der bundesgerichtlichen Rechtsprechung vor, wenn eine divergierende Rechtsprechung an einem Gericht auf organisatorische Mängel zurückzuführen ist. Dies ist beispielsweise dann der Fall, wenn die bisherige Praxis zur einschlägigen Rechtsfrage auch für aufmerksame Richter nicht greifbar ist oder wenn bei erkannter Divergenz kein wirksames Koordinationsinstrumentarium zur Verfügung steht. Von einer uneinheitlichen Rechtsprechung kann hingegen nicht gesprochen werden, wenn verschiedenen Fällen wohl die gleiche Rechtsfrage zugrunde liegt, die Urteile jedoch aufgrund abweichender Sachverhalte unterschiedlich ausfallen. Aus einem einzelnen abweichenden Urteil ergibt sich noch nicht, dass ein Koordinationsmangel in der Rechtsprechung vorliegt.</w:t>
      </w:r>
    </w:p>
    <w:p>
      <w:r>
        <w:rPr>
          <w:b/>
        </w:rPr>
        <w:t>E. 3.1</w:t>
      </w:r>
    </w:p>
    <w:p>
      <w:r>
        <w:t>Das Bundesverwaltungsgericht führt in seiner Stellungnahme aus, die Rechtsprechung hinsichtlich Art. 3 und 12 KRK , namentlich zum Anhörungsrecht von Kindern im Asylverfahren, sei bereits in einem Grundsatzurteil ( BVGE 2012/31 ) koordiniert worden. Daraus wird ersichtlich, dass die Rechtsprechung bezüglich des Anhörungsrechts von Kindern im Asylverfahren klar ist. Die Vertretung der Kinder durch die Eltern genügt, sofern sich deren Interessen decken und diesfalls auf eine Anhörung der Kinder verzichtet werden kann, wenn ihr Standpunkt in den schriftlichen Eingaben genügend zum Ausdruck gekommen ist. Des Weiteren verweist das Bundesverwaltungsgericht auf das Reglement vom 28. August 2013 über die Zusammenarbeit der Abteilungen IV und V des Bundesverwaltungsgerichts (ZASAR), welches die Koordination der Verfahrensabläufe und der Rechtsprechung auf dem Gebiet des Asylrechts regelt.</w:t>
      </w:r>
    </w:p>
    <w:p>
      <w:r>
        <w:rPr>
          <w:b/>
        </w:rPr>
        <w:t>E. 3.2</w:t>
      </w:r>
    </w:p>
    <w:p>
      <w:r>
        <w:t>Entgegen den Vorbringen des Anzeigers kann weder den Urteilen im Verfahren 1, noch der Zwischenverfügung in Verfahren 4 entnommen werden, die gerade urteilsfähig gewordenen Kinder seien im Rahmen einer Befragung zu den Asylgründen anzuhören, nachdem das Asylgesuch der Eltern in einem vorgängigen Verfahren abgelehnt worden war. Was die Instruktionen in den genannten Verfahren anbelangt, so ist festzustellen, dass diese verschiedene Sachverhaltsumstände aufweisen und sich im Rahmen der Praxis des Bundesverwaltungsgerichts bewegen. In keinem der genannten Verfahren wird auch nur implizit ein Anhörungsrecht der Kinder statuiert, da in keinem eine gemäss der Rechtsprechung des Bundesverwaltungsgerichts umschriebene Ausnahmesituation divergierender Eltern-Kind-Interessen vorliegt. Schliesslich ist auch keine koordinationsrechtlich relevante Divergenz betreffend einer Mitteilungspflicht von inländischen Kinderschutzmassnahmen an ausländische Kindesschutzbehörden durch die Asylbehörden auszumachen. Eine Solche geht auch nicht aus der Zwischenverfügung in Verfahren 4 hervor.</w:t>
      </w:r>
    </w:p>
    <w:p>
      <w:r>
        <w:rPr>
          <w:b/>
        </w:rPr>
        <w:t>E. 3.3</w:t>
      </w:r>
    </w:p>
    <w:p>
      <w:r>
        <w:t>In den vom Anzeiger erwähnten Verfahren lässt sich keine koordinationsrechtlich relevante Divergenz feststellen. Aus dem unterschiedlichen Ausgang der Verfahren oder aus einem einzelnen abweichenden Urteil kann nicht auf eine mangelnde Koordination der Rechtsprechung geschlossen werden. Es bestehen vorliegend keine Anhaltspunkte für einen Mangel in der Organisation oder Durchführung der Koordination der Rechtsprechung.</w:t>
      </w:r>
    </w:p>
    <w:p>
      <w:r>
        <w:t>Der Aufsichtsanzeige ist daher keine Folge zu geben.</w:t>
      </w:r>
    </w:p>
    <w:p>
      <w:r>
        <w:rPr>
          <w:b/>
        </w:rPr>
        <w:t>E. 3.4</w:t>
      </w:r>
    </w:p>
    <w:p>
      <w:r>
        <w:t>An diesem Ergebnis ändern auch die Ergänzungen der Aufsichtsanzeige vom 7. und 22. März 2016 nichts.</w:t>
      </w:r>
    </w:p>
    <w:p>
      <w:r>
        <w:rPr>
          <w:b/>
        </w:rPr>
        <w:t>E. 4</w:t>
      </w:r>
    </w:p>
    <w:p>
      <w:r>
        <w:t>Aufsichtsbeschwerden sind grundsätzlich kostenlos. Die Voraussetzungen für eine Ausnahme gemäss Art. 10 der Verordnung über Kosten und Entschädigungen im Verwaltungsverfahren (SR 172.041.0) sind vorliegend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