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12T_1/2011 vom 16. März 2011</w:t>
      </w:r>
    </w:p>
    <w:p>
      <w:r>
        <w:t>Bundesgericht, 2011-03-16, DE</w:t>
      </w:r>
    </w:p>
    <w:p>
      <w:r>
        <w:rPr>
          <w:b/>
        </w:rPr>
        <w:t xml:space="preserve">Quelle: </w:t>
      </w:r>
      <w:r>
        <w:t>https://mcp.opencaselaw.ch/entscheid/bger_12T_1_2011</w:t>
      </w:r>
    </w:p>
    <w:p>
      <w:r>
        <w:t>FR: TF 12T_1/2011 du 16 mars 2011</w:t>
      </w:r>
    </w:p>
    <w:p>
      <w:r>
        <w:t>IT: TF 12T_1/2011 del 16 marzo 2011</w:t>
      </w:r>
    </w:p>
    <w:p>
      <w:pPr>
        <w:pStyle w:val="Heading2"/>
      </w:pPr>
      <w:r>
        <w:t>Erwägungen</w:t>
      </w:r>
    </w:p>
    <w:p>
      <w:r>
        <w:rPr>
          <w:b/>
        </w:rPr>
        <w:t>E. 1</w:t>
      </w:r>
    </w:p>
    <w:p>
      <w:r>
        <w:t>Zuständig für die Behandlung von Aufsichtsanzeigen ist gemäss Art. 17 Abs. 4 lit. g BGG die Verwaltungskommission; also nicht - wie von den Anzeigern irrtümlicherweise geltend gemacht - das Gesamtgericht des Bundesgerichts.</w:t>
      </w:r>
    </w:p>
    <w:p>
      <w:r>
        <w:rPr>
          <w:b/>
        </w:rPr>
        <w:t>E. 2</w:t>
      </w:r>
    </w:p>
    <w:p>
      <w:r>
        <w:t>Vorab gilt es festzuhalten, dass dem Bundesgericht in seiner Funktion als Aufsichtsbehörde über die erstinstanzlichen eidgenössischen Gerichte keine Disziplinargewalt über die Richterinnen und Richter der beaufsichtigten Gerichte zukommt, da hierfür die gesetzliche Grundlage fehlt (Heinrich Koller, in: Basler Kommentar, Bundesgerichtsgesetz, 2008, N. 103 zu Art. 1 BGG , Paul Tschümperlin, Die Aufsicht des Bundesgerichts, SJZ 105 (2009) Nr. 10 S. 236 und 238). Eine Disziplinarmassnahme, wie sie die Anzeiger beantragen, fällt daher von vornherein ausser Betracht.</w:t>
      </w:r>
    </w:p>
    <w:p>
      <w:r>
        <w:rPr>
          <w:b/>
        </w:rPr>
        <w:t>E. 3</w:t>
      </w:r>
    </w:p>
    <w:p>
      <w:r>
        <w:t>Die Aufsicht des Bundesgerichts über das Bundesverwaltungsgericht ist administrativer Art; die Rechtsprechung ist von der Aufsicht ausgenommen (Art. 2 Abs. 2 des Aufsichtsreglements des Bundesgerichts; SR 173.110.132). Der Umgang der beaufsichtigten Instanzen mit den Parteien fällt in die Aufsichtskompetenz des Bundesgerichts (Entscheide des Bundesgerichts 12T_1/2008 vom 18. Juli 2008 E. 3.2, 12T_2/2008 vom 25. August 2008 und 12T_3/2008 vom 10. Oktober 2008). Dazu gehört auch die Frage, ob in einem Verfahren die Umgangsformen und der Anstand gewahrt wurden.</w:t>
      </w:r>
    </w:p>
    <w:p>
      <w:r>
        <w:t>Vorliegend rügt der Anzeiger, die Zwischenverfügungen enthielten ungebührliche Ausführungen. Irgendwelche beleidigende oder herabsetzende Worte sind indessen in der beanstandeten Passage nicht auszumachen. Die Frage, ob der Hinweis auf Art. 60 Abs. 1 VwVG im vorliegenden Fall gerechtfertigt war, fällt sodann grundsätzlich in den Bereich der Rechtsanwendung, welchen das Bundesgericht im Aufsichtsverfahren nicht überprüfen kann.</w:t>
      </w:r>
    </w:p>
    <w:p>
      <w:r>
        <w:t>Die Aufsichtsanzeige erweist sich damit als unbegründet; es ist ihr keine Folge zu geben.</w:t>
      </w:r>
    </w:p>
    <w:p>
      <w:r>
        <w:rPr>
          <w:b/>
        </w:rPr>
        <w:t>E. 4</w:t>
      </w:r>
    </w:p>
    <w:p>
      <w:r>
        <w:t>Das Aufsichtsverfahren ist - besondere Umstände vorbehalten, die hier nicht vorliegen - kostenlos (Art. 10 der Verordnung über Kosten und Entschädigungen im Verwaltungsverfahren; SR 172.041.0).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