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20090630_32772_02 vom 30. Juni 2009</w:t>
      </w:r>
    </w:p>
    <w:p>
      <w:r>
        <w:t>EGMR (Schweiz), 2009-06-30, FR</w:t>
      </w:r>
    </w:p>
    <w:p>
      <w:r>
        <w:rPr>
          <w:b/>
        </w:rPr>
        <w:t xml:space="preserve">Quelle: </w:t>
      </w:r>
      <w:r>
        <w:t>https://mcp.opencaselaw.ch/entscheid/bge_egmr_20090630_32772_02</w:t>
      </w:r>
    </w:p>
    <w:p>
      <w:r>
        <w:t>FR: CourEDH 20090630_32772_02 du 30 juin 2009</w:t>
      </w:r>
    </w:p>
    <w:p>
      <w:r>
        <w:t>IT: CorteEDU 20090630_32772_02 del 30 giugno 2009</w:t>
      </w:r>
    </w:p>
    <w:p>
      <w:pPr>
        <w:pStyle w:val="Heading2"/>
      </w:pPr>
      <w:r>
        <w:t>Regeste</w:t>
      </w:r>
    </w:p>
    <w:p>
      <w:r>
        <w:t>Urteilskopf 32772/02 Verein gegen Tierfabriken Schweiz (VgT) gegen Schweiz Arrêt no. 32772/02, 30 juin 2009</w:t>
      </w:r>
    </w:p>
    <w:p>
      <w:r>
        <w:t>Regeste Diese Zusammenfassung existiert nur auf Französisch. SUISSE: Art. 10 CEDH. Maintien de l'interdiction de la diffusion d'un spot télévisé après un arrêt de la Cour constatant une atteinte à la liberté d'expression. La Cour rappelle que ses constats de violation revêtent un caractère essentiellement déclaratoire, le Comité des Ministres étant chargé d'en surveiller l'exécution. Toutefois, l'arrêt du Tribunal fédéral du 29 avril 2002 ayant rejeté la demande de révision de l'association requérante se fondait sur des motifs nouveaux et doit s'analyser comme un élément nouveau, dont le Comité des Ministres n'avait pas été informé et qui serait soustrait à tout contrôle au titre de la Convention si la Cour ne pouvait pas en connaître. La liberté d'expression constitue l'une des conditions préalables au bon fonctionnement de la démocratie et l'exercice réel et effectif de cette liberté ne dépend pas simplement du devoir de l'Etat de s'abstenir de toute ingérence, mais peut exiger également des mesures positives. En l'espèce, compte tenu de l'importance de l'exécution effective des arrêts de la Cour dans le système de la Convention, la Suisse avait l'obligation d'exécuter de bonne foi l'arrêt de 2001 en se conformant tant à ses conclusions qu'à son esprit. A cet égard, la réouverture de la procédure interne a certes constitué une démarche importante aux fins de l'exécution de l'arrêt mais elle ne peut certainement pas être considérée comme une fin en soi. En l'absence de motifs nouveaux pouvant justifier le maintien de l'interdiction, les autorités suisses avaient en effet l'obligation d'autoriser la diffusion du spot, sans par ailleurs substituer leur jugement à celui de la société requérante quant à la persistance d'un intérêt du public pour le débat en question (ch. 78 - 98). Conclusion: violation de l'art. 10 CEDH. N.B. Cet arrêt de la Grande Chambre fait suite à la décision d'une chambre, qui était arrivée à la même conclusion par arrêt du 04.10.2007. Sachverhalt ( Requête no 32772/02 ) ARRÊT STRASBOURG 30 juin 2009 Cet arrêt est définitif. Il peut subir des retouches de forme. En l'affaire Verein Gegen Tierfabriken Schweiz (VgT) c. Suisse (no 2) , La Cour européenne des droits de l'homme, siégeant en une Grande Chambre composée de : Jean-Paul Costa, président, Christos Rozakis, Françoise Tulkens, Josep Casadevall, Corneliu Bîrsan, Anatoly Kovler, Alvina Gyulumyan, Ljiljana Mijovic, Egbert Myjer, Dragoljub Popovic, Isabelle Berro-Lefèvre, Päivi Hirvelä, Giorgio Malinverni, András Sajó, Ledi Bianku, Ann Power, Mihai Poalelungi, juges, et de Erik Fribergh, greffier , Après en avoir délibéré en chambre du conseil les 9 juillet 2008 et 27 mai 2009, Rend l'arrêt que voici, adopté à cette dernière date : PROCÉDURE 1. A l'origine de l'affaire se trouve une requête (no 32772/02) dirigée contre la Confédération suisse et dont une association de droit suisse, Verein gegen Tierfabriken Schweiz (VgT) (« l'association requérante »), a saisi la Cour le 25 juillet 2002 en vertu de l'article 34 de la Convention de sauvegarde des droits de l'homme et des libertés fondamentales. 2. L'association requérante est représentée par Me R.W. Rempfler, avocat à St-Gall. Le gouvernement suisse (« le Gouvernement ») est représenté par son agent, M. F. Schürmann, de l'Office fédéral de la justice. 3. L'association requérante alléguait en particulier que le maintien de l'interdiction de la diffusion du spot télévisé litigieux après la constatation par la Cour d'une atteinte à la liberté d'expression a entraîné une nouvelle violation de cette liberté telle que prévue par l'article 10 de la Convention. 4. La requête a été attribuée à la deuxième section de la Cour (article 52 § 1 du règlement), puis à la cinquième. Au sein de celle-ci, la chambre chargée d'examiner l'affaire (article 27 § 1 de la Convention) a été constituée conformément à l'article 26 § 1 du règlement. 5. Le 18 janvier 2005, le président de la chambre a décidé de communiquer la requête au Gouvernement. Se prévalant de l'article 29 § 3 de la Convention et de l'article 54A du règlement, il a décidé que seraient examinés en même temps la recevabilité et le bien-fondé de l'affaire. 6. Le 4 octobre 2007, la chambre, composée de Snejana Botoucharova, Luzius Wildhaber, Karel Jungwiert, Volodymyr H. Butkevych, Margarita Tsatsa-Nikolovska, Javier Borrego Borrego, et de Renate Jaeger, ainsi que de Claudia Westerdiek, greffière de section, a rendu un arrêt. Elle a, à l'unanimité, déclaré irrecevable le grief tiré de l'article 6, rejeté l'exception préliminaire du Gouvernement relative au non-épuisement des voies de recours internes par rapport au grief tiré de l'article 10, joint au fond l'argument du Gouvernement quant à l'application de l'article 10 et, partant, déclaré recevable le grief tiré de cet article. Par cinq voix contre deux, la chambre a dit que</w:t>
      </w:r>
    </w:p>
    <w:p>
      <w:pPr>
        <w:pStyle w:val="Heading2"/>
      </w:pPr>
      <w:r>
        <w:t>Erwägungen</w:t>
      </w:r>
    </w:p>
    <w:p>
      <w:r>
        <w:rPr>
          <w:b/>
        </w:rPr>
        <w:t>E. 1</w:t>
      </w:r>
    </w:p>
    <w:p>
      <w:r>
        <w:t>En vertu de l' art. 122 let. a LTF , la révision d'un arrêt du Tribunal fédéral pour violation de la CEDH peut être demandée si la Cour européenne a constaté, par un arrêt définitif, une violation de la CEDH ou de ses protocoles. En pareil cas, la demande de révision doit être déposée devant le Tribunal fédéral au plus tard 90 jours après que l'arrêt de la Cour européenne est devenu définitif au sens de l' art. 44 CEDH ( art. 124 al. 1 let . c LTF). Parties à la procédure ayant abouti à l'arrêt mis en cause, les requérants bénéficient de la qualité pour agir. L'arrêt est devenu définitif le 13 mars 2008, si bien que la requête a été introduite en temps utile. Elle indique en outre le motif de révision et en quoi consiste la modification de l'arrêt demandée, de sorte qu'il convient d'entrer en matière sur le fond. Le chef de conclusion tendant à ce que la Confédération soit condamnée à payer aux requérants les sommes allouées par la Cour européenne à titre de dommage moral et de frais et dépens ne peut cependant pas faire l'objet de la présente procédure de révision. Partant, il est irrecevable.</w:t>
      </w:r>
    </w:p>
    <w:p>
      <w:r>
        <w:rPr>
          <w:b/>
        </w:rPr>
        <w:t>E. 2</w:t>
      </w:r>
    </w:p>
    <w:p>
      <w:r>
        <w:t>Le Comité des Ministres est en droit de prendre en considération toute communication transmise par des organisations non gouvernementales, ainsi que par des institutions nationales pour la promotion et la protection des droits de l'homme, concernant l'exécution des arrêts conformément à l'article 46, paragraphe 2, de la Convention.</w:t>
      </w:r>
    </w:p>
    <w:p>
      <w:r>
        <w:rPr>
          <w:b/>
        </w:rPr>
        <w:t>E. 2.1</w:t>
      </w:r>
    </w:p>
    <w:p>
      <w:r>
        <w:t>En l'espèce, la Cour européenne a constaté que la rupture du lien de filiation entre la mère et sa fille, consécutive à l'adoption de celle-ci par le concubin de sa mère, constitue, dans les circonstances particulières de l'espèce, une ingérence injustifiée dans le droit au respect de la vie familiale des requérants et, par là-même, une violation de l' art. 8 CEDH . L'arrêt de la Cour européenne est en outre définitif depuis le 13 mars 2008 ( art. 122 let. a LTF ). Il est par ailleurs évident qu'aucune indemnité n'est en mesure de compenser la perte du lien de filiation qui unit l'adoptée à sa mère ( art. 122 let. b LTF ). Les deux premières conditions posées par l' art. 122 LTF sont donc remplies.</w:t>
      </w:r>
    </w:p>
    <w:p>
      <w:r>
        <w:rPr>
          <w:b/>
        </w:rPr>
        <w:t>E. 2.2</w:t>
      </w:r>
    </w:p>
    <w:p>
      <w:r>
        <w:t>Il convient encore d'examiner si la révision de l'arrêt du Tribunal fédéral est nécessaire pour remédier aux effets de la violation de l' art. 8 CEDH ( art. 122 let . c LTF). Le seul fait que la Convention ait été violée ne commande pas en effet la révision de la décision portée devant la Cour européenne. Cela découle de la nature même de la révision, qui est un moyen de droit extraordinaire. Par conséquent, s'il existe une autre voie ordinaire qui permettrait une réparation, celle-ci doit être choisie en priorité. La réponse à cette question dépend de la nature de la violation de la Convention constatée. Lorsque seuls des intérêts matériels restent en jeu, la révision est en principe exclue. En revanche, lorsque la situation contraire au droit perdure malgré le constat d'une violation de la Convention par la Cour européenne, la révision est possible. La procédure est alors reprise dans les limites du motif de révision (Pour l'OJ : arrêt 2A.232/2000 du 2 mars 2001, consid. 2b/bb, publié in: Pra 2001 no92 p. 538 et les arrêts cités; pour la LTF: Elisabeth Escher, in Basler Kommentar BGG, Bâle 2008, n. 6 ad art. 122; arrêt 1F_1/2007 du 30 juillet 2007, consid. 3.2). La Cour européenne a ici exclu que l'annulation de l'adoption pour vice de la volonté soit susceptible de remédier aux effets litigieux de l'adoption. Une telle action ne saurait être considérée, selon la jurisprudence de la Cour européenne, comme une voie de recours effective, permettant d'opposer aux requérants une exception d'irrecevabilité tirée du non-épuisement des voies de recours internes. La Cour européenne a également retenu que le mariage entre l'adoptant et la mère de l'adoptée ne pouvait être exigé afin de rétablir le lien de filiation maternelle avec l'adoptée. Selon la Cour européenne, il n'appartient pas en effet aux autorités nationales de se substituer aux personnes intéressées dans leur prise de décision sur la forme de vie commune qu'elles souhaitent adopter. La notion de famille au sens de l' art. 8 CEDH ne se borne d'ailleurs pas aux seules relations fondées sur le mariage. Par conséquent, sauf rétablissement du lien de filiation avec la mère et modification correspondante du registre de l'état civil, il faut admettre que la situation contraire au droit persiste. Partant, il y a lieu d'admettre la demande de révision et d'annuler l'arrêt du 28 mai 2003. (...). » B. Le droit et la pratique internationaux pertinents 1. L'exécution des arrêts de la Cour 33. Le 19 janvier 2000, lors de la 694e réunion des Délégués des Ministres, le Comité des Ministres a adopté la Recommandation R(2000)2 sur le réexamen ou la réouverture de certaines affaires au niveau interne suite à des arrêts de la Cour européenne des droits de l'homme : « Le Comité des Ministres, en vertu de l'article 15.b du Statut du Conseil de l'Europe, Considérant que le but du Conseil de l'Europe est de réaliser une union plus étroite entre ses membres; Eu égard à la Convention de sauvegarde des droits de l'homme et les libertés fondamentales (ci-après « la Convention »); Notant que, sur la base de l'article 46 de la Convention, les Parties contractantes s'engagent à se conformer aux arrêts définitifs de la Cour européenne des droits de l'homme (« la Cour ») dans les litiges auxquels elles sont parties et que le Comité des Ministres en surveille l'exécution; Ayant à l'esprit que, dans certaines circonstances, l'engagement susmentionné peut impliquer l'adoption de mesures, autres que la satisfaction équitable accordée par la Cour conformément à l'article 41 de la Convention et / ou des mesures générales, afin que la partie lésée se retrouve, dans la mesure du possible, dans la situation où elle était avant la violation de la Convention( restitutio in integrum ); Prenant note du fait qu'il appartient aux autorités compétentes de l'Etat défendeur de déterminer quelles mesures sont les plus appropriées pour réaliser la restitutio in integrum , en tenant compte des moyens disponibles dans le système juridique national; Ayant toutefois à l'esprit que - ainsi que le montre la pratique du Comité des Ministres relative au contrôle de l'exécution des arrêts de la Cour - il y a des circonstances exceptionnelles dans lesquelles le réexamen d'une affaire ou la réouverture d'une procédure s'est avéré être le moyen le plus efficace, voire le seul, pour réaliser la restitutio in integrum , I. Invite, à la lumière de ces considérations, les Parties contractantes à s'assurer qu'il existe au niveau interne des possibilités adéquates de réaliser, dans la mesure du possible, la restitutio in integrum . II. Encourage notamment les Parties contractantes à examiner leurs systèmes juridiques nationaux en vue de s'assurer qu'il existe des possibilités appropriées pour le réexamen d'une affaire, y compris la réouverture d'une procédure, dans les cas où la Cour a constaté une violation de la Convention, en particulier lorsque : i. la partie lésée continue de souffrir des conséquences négatives très graves à la suite de la décision nationale, conséquences qui ne peuvent être compensées par la satisfaction équitable et qui ne peuvent être modifiées que par le réexamen ou la réouverture, et ii. il résulte de l'arrêt de la Cour que a) la décision interne attaquée est contraire sur le fond à la Convention, ou b) la violation constatée est causée par des erreurs ou défaillances de procédure d'une gravité telle qu'un doute sérieux est jeté sur le résultat de la procédure interne attaquée. Exposé des motifs concernant la Recommandation R(2000)2 : (...) Le paragraphe 1 expose le principe de base de la recommandation selon lequel toutes les victimes de violations de la Convention doivent avoir droit, dans la mesure du possible, à une restitutio in integrum efficace. Les Parties contractantes doivent par conséquent revoir leurs systèmes juridiques dans le but de garantir qu'ils contiennent les moyens nécessaires à cette fin. (...). » 34. Le paragraphe 35 du rapport de l'Assemblée parlementaire sur l'exécution des arrêts de la Cour européenne des droits de l'homme du 12 juin 2000 (Doc. 8808) est libellé comme suit : « Puisque la Cour ne dit pas comment l'Etat doit appliquer ses décisions il appartient à ce dernier de chercher les moyens de le faire. L'obligation de se conformer aux arrêts est une obligation de résultat : il faut prévenir de nouvelles violations et réparer les conséquences de la violation pour le requérant ». 35. Le 10 mai 2006, lors de la 964e réunion des Délégués des Ministres, le Comité des Ministres a adopté les Règles pour la surveillance de l'exécution des arrêts et des termes des règlements amiables : « Règle no 1 : 1. L'exercice des fonctions du Comité des Ministres conformément à l'article 46, paragraphes 2 à 5, et à l'article 39, paragraphe 4, de la Convention européenne des Droits de l'Homme, est régi par les présentes Règles. (...) Règle no 6 : Informations au Comité des Ministres sur l'exécution de l'arrêt : 1. Lorsque, dans un arrêt transmis au Comité des Ministres conformément à l'article 46, paragraphe 2, de la Convention, la Cour déclare qu'il y a eu violation de la Convention ou de ses protocoles et/ou accorde à la partie lésée une satisfaction équitable en application de l'article 41 de la Convention, le Comité invite la Haute Partie contractante concernée à l'informer des mesures prises ou qu'elle envisage de prendre à la suite de cet arrêt, eu égard à l'obligation qu'elle a de s'y conformer selon l'article 46, paragraphe 1, de la Convention.</w:t>
      </w:r>
    </w:p>
    <w:p>
      <w:r>
        <w:rPr>
          <w:b/>
        </w:rPr>
        <w:t>E. 3</w:t>
      </w:r>
    </w:p>
    <w:p>
      <w:r>
        <w:t>Le Secrétariat porte, selon des modalités appropriées, toutes communications reçues auxquelles il est fait référence au paragraphe 1 de cette Règle, à la connaissance du Comité des Ministres. Il en fait de même à l'égard de toutes communications reçues auxquelles il est fait référence au paragraphe 2 de cette Règle, accompagnées de toutes observations de la ou des délégation(s) concernée(s), à condition que ces dernières soient transmises au Secrétariat dans un délai de cinq jours ouvrables après notification d'une telle communication. (...) Règle no 16 : Résolutions intérimaires : Dans le cadre de la surveillance de l'exécution d'un arrêt ou de l'exécution des termes d'un règlement amiable, le Comité des Ministres peut adopter des résolutions intérimaires, afin notamment de faire le point sur l'état d'avancement de l'exécution ou, le cas échéant, d'exprimer sa préoccupation et / ou de formuler des suggestions en ce qui concerne l'exécution. Règle no 17 : Résolution finale : Le Comité des Ministres, après avoir conclu que la Haute Partie contractante concernée a pris toutes les mesures nécessaires pour se conformer à l'arrêt ou pour exécuter les termes du règlement amiable, adopte une résolution constatant qu'il a rempli ses fonctions en vertu de l'article 46, paragraphe 2, ou de l'article 39, paragraphe 4, de la Convention. » 2. Les obligations incombant aux Etats en vertu du droit international général 36. L'article 35 du projet d'articles de la Commission du droit international relatif à la responsabilité des Etats pour fait internationalement illicite (adoptés par l'Assemblée générale lors de sa 53e session (2001), et reproduits dans Documents officiels de l'Assemblée générale, 56e session, Supplément no 10 (A/56/10)), est libellé comme suit : Article 35 : Restitution « L'Etat responsable du fait internationalement illicite a l'obligation de procéder à la restitution consistant dans le rétablissement de la situation qui existait avant que le fait illicite ne soit commis, dès lors et pour autant qu'une telle restitution a) n'est pas matériellement impossible et b) n'impose pas une charge hors de toute proportion avec l'avantage qui dériverait de la restitution plutôt que de l'indemnisation. » 37. L'article 26, comme par ailleurs l'alinéa 3 du préambule, de la Convention de Vienne sur le droit des traités du 23 mai 1969, entrée en vigueur pour la Suisse le 6 juin 1990, énonce le principe « pacta sunt servanda » : « Tout traité en vigueur lie les parties et doit être exécuté par elles de bonne foi. » Erwägungen EN DROIT I. SUR LA VIOLATION ALLÉGUÉE DE L'ARTICLE 10 DE LA CONVENTION 38. L'association requérante allègue que le maintien de l'interdiction de la diffusion du spot télévisé litigieux après la constatation par la Cour d'une atteinte à la liberté d'expression constitue une nouvelle violation de la liberté d'expression telle que prévue par l'article 10 de la Convention, qui se lit ainsi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 Sur les exceptions préliminaires 1. Non-épuisement des voies de recours internes a) Les thèses des parties 39. D'après le gouvernement défendeur, la procédure de révision n'était pas, en l'espèce, la voie de recours appropriée pour obtenir la diffusion du spot, puisque le Tribunal fédéral n'aurait de toute façon pas pu ordonner la diffusion dans le cadre de cette procédure. 40. Il rappelle également que l'association requérante a saisi l'Office fédéral de la communication contre le refus de « Publisuisse SA » de diffuser le spot muni du nouveau commentaire et a introduit, le même jour, la demande de révision qui, par définition, ne pouvait viser que la diffusion de la version initiale. C'est par ailleurs l'existence de cette procédure introduite entre-temps qui explique l'appréciation du Tribunal fédéral : à quoi bon une procédure de révision qui, dans le meilleur des cas, aboutirait à un résultat ne correspondant plus, de toute façon, à la demande actuelle de l'association requérante - 41. Enfin, le Gouvernement rappelle également que la relation juridique entre l'association requérante et « Publisuisse SA » relevait du droit privé. Le refus de diffuser le spot soulevait donc un problème non seulement sous l'angle de la législation relative à la publicité à la radio et à la télévision (notion de « publicité politique »), mais aussi sous l'angle du droit privé, notamment du droit des cartels, de celui de la concurrence ou de la protection de la personnalité. A cette distinction au niveau du droit matériel s'ajoutait, à l'époque des faits, une distinction au niveau procédural : dans le cadre du recours de droit administratif, seul à avoir été engagé par l'assocation requérante, le Tribunal fédéral ne pouvait connaître que du fond du refus basé sur l'article 18 § 5 de la loi sur la radio et la télévision. La voie civile, qui n'a en revanche jamais été entamée, aurait permis d'examiner la question de savoir si « Publisuisse SA » était tenue, en dépit des intérêts privés contradictoires (liberté économique, liberté d'expression, et intérêts de l'industrie de la viande), de diffuser le spot. 42. L'association requérante conteste l'argument du Gouvernement tiré du non-épuisement des voies de recours internes. Elle rappelle que le Tribunal fédéral, dans son arrêt du 29 avril 2002, a déclaré que les décisions de l'Office fédéral de la communication pouvaient faire l'objet d'un recours devant le Département fédéral de l'environnement, des transports, de l'énergie et de la communication s'il s'agissait d'une procédure en matière de cartels. D'après l'association requérante, il s'ensuit a contrario que ce recours était exclu contre la décision de l'Office du 3 mars 2003, puisque la procédure portait sur une concession. b) L'arrêt de la chambre 43. Quant à la question de l'épuisement des voies de recours internes, la chambre a formulé les considérations suivantes : « 34. La Cour observe que la demande de révision de l'association requérante était formulée de manière très sommaire et à peine compatible avec les exigences de l'article 140 de l'ancienne loi fédérale d'organisation judiciaire. Néanmoins, dans la mesure où le Tribunal fédéral, après avoir exposé les motifs d'irrecevabilité, a conclu que l'association requérante n'avait pas suffisamment démontré qu'elle avait encore un intérêt à la diffusion du spot télévisé dans sa version originale, la Cour est d'avis, à la lumière de sa jurisprudence, que ce grief ne peut pas être rejeté pour non-épuisement des voies de recours internes, étant donné que cette juridiction s'est prononcée, aussi brièvement fût-il, sur le fond de l'affaire en estimant que l'association requérante n'avait probablement plus d'intérêt à la diffusion télévisée du spot dans sa version originale (voir, mutatis mutandis , Huber c. Suisse , no 12794/87, décision de la Commission du 9 juillet 1988, Décisions et rapports (DR) 57, p. 259, Chammas c. Suisse , no 35438/97, décision de la Commission du 30 mai 1997, non publiée, Jamal Aldin c. Suisse , no 19959/92, décision de la Commission du 23 mai 1996, non publiée, Thaler c. Autriche (déc.), no 58141/00, 15 septembre 2003, Voggenreiter c. Allemagne (déc.), no 47169/99, 28 novembre 2002, et Atik c. Allemagne (déc.), no 67500/01, 13 mai 2004). 35. Il s'ensuit que le grief tiré de l'article 10 ne saurait être rejeté pour non-épuisement des voies de recours internes. » c) L'appréciation de la Cour 44. Il convient de préciser d'emblée que seule se trouve en jeu ici la question de savoir s'il y a eu violation de l'article 10 au motif que le Tribunal fédéral n'a pas accueilli la demande en révision de l'association requérante après que la Cour eut constaté la violation de cette disposition. Ainsi, les arguments du Gouvernement portant sur le spot muni du nouveau commentaire ne sont pas pertinents. 45. A la lumière des observations des parties, exposées ci-dessus, la Grande Chambre confirme le raisonnement et la conclusion de l'arrêt de la chambre. Il s'ensuit que le grief tiré de l'article 10 ne saurait être rejeté pour non-épuisement des voies de recours internes. 2. Incompétence ratione materiae a) L'arrêt de la chambre 46. La chambre a estimé que le grief tiré de l'article 10 concernant le refus du Tribunal fédéral de réviser son arrêt du 20 août 1997 devait être considéré comme un problème nouveau, non tranché par la Cour dans le cadre de son arrêt du 28 juin 2001. Partant, ce refus était susceptible de constituer une nouvelle violation de l'article 10 de la Convention, pour les motifs suivants : « 51. Il convient donc d'examiner si l'arrêt du Tribunal fédéral en date du 29 avril 2002 constitue une nouvelle ingérence dans la liberté d'expression de l'association requérante qui peut faire l'objet d'un examen au fond par la Cour. 52. Quant à la présente affaire, la Cour estime utile de rappeler qu'elle ne concerne pas un cas « typique » de réouverture d'une procédure pénale après un constat de violation de l'article 6 de la Convention (voir, notamment, les affaires précitées Sejdovic , Lyons et Krcmár ), mais le refus de revenir sur l'interdiction de diffuser un spot télévisé, donc l'article 10 de la Convention. En ce sens, elle est comparable à l'affaire Hertel (déc.) précitée. En revanche, il convient de rappeler que dans cette affaire-là, le Tribunal fédéral a admis la demande de révision du requérant, en levant de manière significative les restrictions à sa liberté d'expression. Le Comité des Ministres a, par ailleurs, clos la procédure devant lui par une résolution finale qui tenait dûment compte des modifications de l'arrêt du Tribunal fédéral, jugé par la Cour incompatible avec l'article 10. Compte tenu de ces différences significatives, la Cour doit se demander si l'approche suivie par la Cour dans l'affaire Hertel précitée, qui a consisté à examiner le bien-fondé des allégations portant sur une nouvelle violation de l'article 10 et non de les déclarer irrecevables pour incompatibilité ratione materiae avec la Convention ou ses protocoles, soit aussi envisageable en l'espèce (décision précitée, pp. 559-562). 53. En ce qui concerne les mesures prises par le gouvernement suisse afin de s'acquitter de ses obligations en vertu de l'article 46 § 2 de la Convention, il n'est pas contesté que le Gouvernement a versé les sommes que la Cour avait allouées à l'association requérante dans son arrêt sur l'article 41 au titre des frais et dépens. De surcroît, il ressort de la Résolution no ResDH (2003) 125, en date du 22 juillet 2002, que l'arrêt de la Cour a été diffusé auprès des autorités compétentes et publié dans la Revue Jurisprudence des autorités administratives de la Confédération, ainsi que sur Internet (paragraphe 16 ci-dessus). 54. Il convient également de constater que le Comité des Ministres a mis fin à l'examen de l'affaire no 24699/94 en soulignant la possibilité d'une demande de révision devant le Tribunal fédéral, c'est-à-dire sans attendre l'issue de cette procédure ouverte en vertu du droit suisse (voir l'annexe de la résolution, paragraphe 16 ci-dessus). 55. La Cour rappelle aussi que le but de la Convention consiste à protéger des droits non pas théoriques ou illusoires, mais concrets et effectifs (voir, mutatis mutandis , Artico c. Italie , arrêt du 13 mai 1980, série A no 37, p. 16, § 33, et Bianchi c. Suisse , no 7548/04 , § 84, 22 juin 2006). Or, il est vrai que la Convention n'oblige pas les Etats parties à mettre sur pied des mécanismes de réouverture après un constat de violation par la Cour( Saïdi , précité, p. 57, § 47, et Pelladoah , précité, p. 36, § 44). La Cour tient néanmoins à souligner que l'existence d'une telle procédure en droit suisse peut être considérée comme un aspect important de l'exécution de ses arrêts et leur existence démontre l'engagement d'un Etat contractant de respecter la Convention et la jurisprudence qu'elle génère (voir, mutatis mutandis , Barberà, Messegué et Jabardo c. Espagne (article 50), arrêt du 13 juin 1994, série A no 285-C, p. 56, § 15, et Lyons et autres , précitée, p. 431). Mais son existence en droit interne n'est en soi pas suffisante. Encore faut-il que la juridiction nationale visée, à savoir le Tribunal fédéral, applique directement la Convention et la jurisprudence de la Cour (voir aussi, mutatis mutandis , pour le droit d'accès à un tribunal et de l'effectivité requise d'un recours à une cour d'appel ou de cassation, Delcourt c. Belgique , arrêt du 17 janvier 1970, série A no 11, pp. 13-15, §§ 25 et suiv.). Cela s'avère d'autant plus important que le Comité des Ministres a clos, en l'espèce, la procédure de surveillance de l'exécution de l'arrêt de la Cour, en relevant uniquement l'existence d'une voie de demande de révision, sans attendre son résultat. Il est évident que le renvoi à une voie de droit qui ne s'avère pas susceptible de pouvoir remédier de manière effective et concrète à une violation constatée de la Convention privera l'intéressé de son droit de voir effacées autant que possible les conséquences de ladite violation. 56. Enfin, il ressort d'une interprétation grammaticale de l'article 139a de l'ancienne loi fédérale d'organisation judiciaire (« Le droit et la pratique internes pertinents », paragraphe 19 ci-dessus) que la révision devant le Tribunal fédéral constitue un moyen subsidiaire de réparation, étant donné que cette disposition statue qu'une telle demande est recevable lorsque « (...) la réparation ne peut être obtenue que par la voie de la révision ». En l'espèce, force est de constater que la Cour, dans son arrêt du 28 juin 2001, n'a octroyé à l'association requérante aucune indemnité au titre du dommage moral. En l'absence d'une telle demande de la part de l'association requérante, elle n'a même pas exprimé l'avis selon lequel le constat de la violation de l'article 10 saurait être considéré comme constituant une réparation adéquate et suffisante pour le préjudice moral subi par l'association requérante. Ainsi, une réouverture de la procédure devant le Tribunal fédéral, visant la restitutio in integrum - la forme de réparation idéale en droit international - aurait permis d'effacer autant que possible les conséquences de la violation constatée par la Cour (voir, dans ce sens, Pisano , précité, § 43, Scozzari et Giunta , précité, § 249, et Sejdovic , précité, § 119 ; voir aussi, pour un cas concret de l'application de la législation suisse pertinente, l'affaire Hertel (déc.) précitée, dans laquelle le requérant a obtenu la levée de l'interdiction générale de publier ses idées à la suite de sa demande de révision devant le Tribunal fédéral (voir la partie « Le droit et la pratique internes pertinents », paragraphe 21 ci-dessus)). 57. Par ailleurs, la Cour a égard au fait qu'en l'espèce, la demande de révision était rédigée de manière très sommaire et à peine compatible avec les exigences de l'article 140 (voir la partie « Le droit et la pratique internes pertinents », paragraphe 20 ci-dessus). Néanmoins, les considérations du Tribunal fédéral concernant l'intérêt de l'association requérante à la diffusion du spot télévisé, aussi sommaires soient-elles, sont susceptibles de donner lieu à une nouvelle atteinte à la liberté d'expression de l'association requérante. 58. Par conséquent, la Cour est d'avis que le grief tiré de l'article 10 relatif au refus du Tribunal fédéral de réviser son arrêt du 20 août 1997 doit être considéré comme un problème nouveau, non tranché par l'arrêt de la Cour en date du 28 juin 2001 et, dès lors, est compatible ratione materiae avec la Convention et ses protocoles (...) ». b) Les thèses des parties i. Le Gouvernement 47. Le Gouvernement indique que, contrairement à la plupart des arrêts et décisions cités par la chambre, le Comité des Ministres a déjà adopté une résolution finale, selon laquelle il « a rempli ses fonctions en vertu de l'article 46 § 2 de la Convention dans la présente affaire ». Il rappelle les mesures qu'il a prises à titre individuel et général, qui témoignent de l'effort déployé à tous les niveaux - législatif, administratif et judiciaire - afin de se conformer à l'arrêt de la Cour, notamment : le versement du montant dû à l'association requérante au titre de la satisfaction équitable, la possibilité d'introduire une demande de révision devant le Tribunal fédéral, les mesures mentionnées dans l'Annexe à la résolution finale du Comité des Ministres, la décision du directeur de l'Office fédéral de la communication de procéder dorénavant à une interprétation considérablement plus restrictive de la notion de « publicité à caractère politique », prévue à l'article 18 § 5 de la loi fédérale sur la radio et la télévision, ainsi que l'application de cette nouvelle interprétation dans de nombreuses affaires et l'entrée en vigueur de la révision totale de la loi fédérale du 24 mars 2006 sur la radio et la télévision, qui entérine cette interprétation restrictive et prévoit une procédure adéquate et sans frais pour faire valoir, entre autres, que le « refus d'accorder l'accès au contenu du programme est illicite ». 48. En ce qui concerne plus particulièrement la demande de révision, il ressort du texte même de sa résolution que le Comité des Ministres n'a pas estimé indispensable de connaître le sort de cette demande avant d'adopter sa résolution finale. D'après le Gouvernement, il s'ensuit que le Comité des Ministres a considéré, d'une part, que les mesures individuelles et générales déjà adoptées étaient, à elles seules, suffisantes pour clore l'affaire indépendamment de l'issue de la procédure de révision et, d'autre part, que cette procédure de révision constitue bien une possibilité offerte par le droit interne, mais non une obligation exigée par la Convention. 49. Selon le Gouvernement, l'arrêt de la chambre a pour conséquence un transfert de compétence du Comité des Ministres vers la Cour. Il touche ainsi au principe fondamental de la séparation des pouvoirs entre la Cour et le Comité des Ministres, tel que prévu par l'article 46 § 2 de la Convention. 50. Le Gouvernement rappelle également que, lors de l'élaboration du Protocole no 14, la Cour a exprimé sa réticence à toute proposition de réforme du système de contrôle de la Convention qui consisterait à opérer un transfert de responsabilité du Comité des Ministres vers la Cour en ce qui concerne la surveillance des arrêts. Si ce Protocole avait déjà été en vigueur, la Cour n'aurait pas pu se saisir de la présente affaire, puisque l'article 46 § 4 de la Convention, tel qu'amendé par le Protocole no 14, prévoit une action en manquement du Comité des Ministres devant la Cour dans les seuls cas où un Etat persisterait dans son refus à exécuter un arrêt définitif, à savoir avant que la résolution finale du Comité des Ministres n'ait été adoptée. 51. Selon le Gouvernement, l'argumentation de la chambre ne tient pas compte de la jurisprudence selon laquelle la Convention ne donne pas à la Cour la compétence d'exiger d'un Etat la réouverture de la procédure. La révision n'est pas une exigence qui découlerait de la Convention. En d'autres termes, si l'on admet que la Convention n'oblige pas les Etats parties à mettre sur pied des mécanismes de réouverture, il faut admettre également que les Etats qui ont opté pour un tel mécanisme sont libres d'en définir les conditions formelles et matérielles et d'examiner, dans un cas d'application, si ces conditions ont été remplies. Comme pour toute interprétation du droit interne, le rôle de la Cour devrait se limiter à assurer que l'examen par les autorités et juridictions nationales n'est pas entaché d'arbitraire ou d'irrationalité manifeste. Le raisonnement de la majorité des juges de la chambre risque en effet de créer une inégalité de traitement entre les Etats dont le droit interne connaît des procédures de réouverture et ceux qui ne les connaissent pas. Le Gouvernement souscrit à cet égard pleinement à l'opinion dissidente des juges de la minorité, selon laquelle « un résultat défavorable au requérant ne saurait être considéré comme moins conforme à la Convention que l'absence d'une telle procédure ». A cet égard, le Gouvernement souligne que l'article 139a de l'ancienne loi sur l'organisation judiciaire octroyait à l'assocation requérante le droit de former une demande de révision, mais en aucun cas celui d'obtenir cette révision et encore moins dans le sens qu'elle souhaitait. 52. Le Gouvernement soutient également que si le Tribunal fédéral, dans son premier arrêt, était arrivé à la conclusion - comme par la suite la Cour - que le refus de diffuser le spot à cause de son caractère politique était contraire à l'article 10 de la Convention, il aurait de toute façon dû se limiter à ce constat mais n'aurait en revanche pas pu ordonner la diffusion, faute d'une base légale l'habilitant à imposer à « Publisuisse SA » une telle obligation. Or, une mesure qui était exclue lors du premier jugement l'est aussi lors de la procédure visant à réviser ce jugement. De l'avis du Gouvernement, pareille obligation ne découle pas non plus de la Convention, comme l'ont constaté par ailleurs les deux juges de la minorité. 53. Enfin, le Gouvernement rappelle que l'association requérante avait insisté auprès de « Publisuisse SA » pour diffuser le spot muni du nouveau commentaire. Le Tribunal fédéral, saisi de la demande de révision, en avait connaissance et en a déduit sans arbitraire qu'il était peu probable que l'association requérante continuât d'avoir un intérêt à la diffusion du spot dans sa version originale. Cette appréciation est confirmée par le fait que l'association requérante avait déjà introduit un recours devant l' l'Office fédéral de la communication contre le deuxième refus de « Publisuisse SA », dont le Tribunal fédéral avait également connaissance. Selon le Gouvernement, il va de soi que la procédure de révision, pour cette raison également, n'était pas la procédure appropriée pour examiner si ce deuxième refus de « Publisuisse SA » était conforme ou non avec la liberté d'expression de l'association requérante. 54. Au vu de ces éléments, le Gouvernement est convaincu que l'on ne saurait reprocher au Tribunal fédéral de ne pas avoir « appliqué directement la Convention et la jurisprudence de la Cour ». Il s'ensuit que le Tribunal fédéral, en refusant d'ordonner la diffusion du spot litigieux, soit dans sa version initiale, soit dans sa version modifiée, dans le cadre de la procédure de révision, n'a pas causé une nouvelle violation, seule condition qui pourrait justifier la compétence ratione materiae de la Cour. ii. L'association requérante 55. D'après l'association requérante, l'argument du Gouvernement selon lequel la Cour n'est pas compétente ratione materiae ne respecte pas les circonstances particulières du cas d'espèce. En outre, elle rappelle que le Comité des Ministres du Conseil de l'Europe, dûment informé par elle que le Tribunal fédéral avait statué sur sa demande de réouverture, a préféré ne pas rouvrir la procédure d'exécution de l'arrêt, compte tenu notamment de la nouvelle requête introduite par l'association requérante. iii. Le tiers intervenant 56. Le gouvernement tchèque est d'avis que la Cour n'a aucune compétence dans l'examen par le Comité des Ministres de l'exécution des arrêts de la Cour, ce qui pourtant ne la prive pas de la possibilité - à certaines conditions - de connaître de prétendues nouvelles violations de la Convention survenues dans la même affaire postérieurement à un de ses arrêts. Il soutient que, dans les trois situations qui suivent, une nouvelle violation de la Convention est exclue : - lorsque la réouverture de la procédure n'est pas possible parce que la loi interne ne prévoit pas une telle éventualité ; - quand une demande de réouverture de la procédure est rejetée comme irrecevable au motif qu'elle ne satisfait pas aux conditions énumérées par la loi (délai d'introduction, exigences de forme, subsidiarité etc.), - lorsque les organes nationaux compétents, après avoir accueilli la demande de réouverture de la procédure, rendent une décision pour les mêmes raisons que celles sanctionnées par la Cour, pourvu qu'une telle approche se justifie au regard de la Convention (par exemple par le changement des circonstances survenu entre-temps). 57. En d'autres termes, selon le gouvernement tchèque, la Convention ne garantissant pas le droit à la réouverture de la procédure interne à la suite d'un arrêt de la Cour, cette dernière n'a aucune compétence pour sanctionner un Etat défendeur parce que celui-ci a rejeté une demande. Néanmoins, elle est compétente pour sanctionner un Etat défendeur lorsque, une fois la procédure réouverte, les organes nationaux adoptent une décision identique sans que cela se justifie. Or, ce qui importe, selon le gouvernement tchèque, c'est qu'en règle générale le simple manque à remédier à la violation originelle de la Convention en tant que tel ne peut jamais constituer une nouvelle violation de la Convention, la seule exception étant constituée par les violations continues, non pertinentes en l'espèce. 58. Le gouvernement tchèque observe également que les Etats qui décident d'instituer un système de réouverture de la procédure après un constat de violation de la Convention doivent rester libres d'en fixer les conditions de recevabilité. Il n'est absolument pas possible d'appliquer, même mutatis mutandis , la jurisprudence de la Cour concernant le droit d'accès à un tribunal et celle relative à l'effectivité requise d'un recours à une cour d'appel ou de cassation en tant qu'aspects de l'article 6 § 1 de la Convention, comme le prétend la chambre dans son arrêt. Rappelant que les garanties de cette disposition ne s'appliquent pas à la procédure d'examen d'une demande tendant à la révision de la procédure, le gouvernement tchèque soutient qu'elles s'appliquent encore moins à une procédure de demande de réouverture à la suite d'un arrêt de la Cour. 59. Selon le gouvernement tchèque, il importe peu de savoir dans quelle phase se trouve l'examen de l'exécution de l'arrêt de la Cour par le Comité des Ministres, et notamment si ce dernier a déjà adopté une résolution finale mettant fin à cet examen. 60. L'existence d'une compétence de la Cour dans la phase d'exécution des arrêts ne dépend pas non plus de l'avis du Comité des Ministres sur la question de savoir si les mesures prises par l'Etat défendeur en vue d'exécuter l'arrêt peuvent ou non être considérées comme suffisantes. En particulier, la Cour n'est pas compétente pour apprécier les résolutions adoptées par le Comité des Ministres, voire corriger de prétendus défauts de ces résolutions. c) L'appréciation de la Cour i. Les principes 61. La Cour rappelle qu'un constat de violation dans ses arrêts est essentiellement déclaratoire ( Marckx c. Belgique , arrêt du 13 juin 1979, série A no 31, § 58, Lyons et autres c. Royaume-Uni (déc.), no 15227/03, CEDH 2003-IX, p. 422, et Krcmár et autres c. République tchèque (déc.), no 69190/01, 30 mars 2004) et que, par l'article 46 de la Convention, les Hautes Parties contractantes se sont engagées à se conformer aux arrêts de la Cour dans les litiges auxquels elles sont parties, le Comité des Ministres étant chargé d'en surveiller l'exécution (voir, mutatis mutandis , Papamichalopoulos et autres c. Grèce (ancien article 50), arrêt du 31 octobre 1995, série A no 330-B, § 34). 62. Le rôle du Comité des Ministres dans ce domaine ne signifie pas pour autant que les mesures prises par un Etat défendeur en vue de remédier à la violation constatée par la Cour ne puissent pas soulever un problème nouveau, non tranché par l'arrêt (arrêt Mehemi c. France (no 2) , no 53470/99 , § 43, CEDH 2003-IV, renvoyant aux arrêts Pailot c. France , 22 avril 1998, Recueil 1998-II, § 57, Leterme c. France ,29 avril 1998, Recueil 1998-III, et Rando c. Italie , no 38498/97, § 17, 15 février 2000) et, dès lors, faire l'objet d'une nouvelle requête dont la Cour pourrait avoir à connaître. En d'autres termes, la Cour peut accueillir un grief selon lequel la réouverture d'une procédure au niveau interne, en vue d'exécuter l'un de ses arrêts, a donné lieu à une nouvelle violation de la Convention ( Lyons et autres , précitée, p. 431 ; voir aussi dans ce sens, Hertel c. Suisse (déc.), no 3440/99, CEDH 2002-I). 63. Il convient de rappeler, dans ce contexte, les critères développés par la jurisprudence s'agissant de l'article 35 § 2 b), lequel commande de déclarer irrecevable une requête qui est « essentiellement la même qu'une requête précédemment examinée par la Cour (...), et (...) ne contient pas de faits nouveaux. » Dès lors, la Cour doit vérifier si les deux requêtes dont elle a été saisie par l'association requérante ont trait essentiellement à la même personne, aux mêmes faits et aux mêmes griefs (voir, mutatis mutandis , Pauger c. Autriche , no 24872/94, décision de la Commission du 9 janvier 1995, DR 80-A, p. 170, et Folgerø et autres c. Norvège (déc.), no 15472/02, du 14 février 2006). ii. L'application à la présente affaire 64. En l'espèce, il y a lieu de rappeler qu'à la suite de l'arrêt de la Cour du 28 juin 2001, l'association requérante a saisi le Tribunal fédéral d'une demande de révision de l'arrêt rendu par celui-ci le 20 août 1997. Cette demande a été rejetée le 29 avril 2002. La haute juridiction suisse a notamment estimé que l'association requérante n'avait pas suffisamment démontré qu'elle avait encore un intérêt à la diffusion télévisée du spot dans sa version initiale, qui paraissait alors dépassé, presque huit ans plus tard. Entre-temps, l'association requérante s'était adressée de nouveau à « Publisuisse SA » pour solliciter la diffusion du spot litigieux muni du nouveau commentaire. Le 30 novembre 2001, « Publisuisse SA » a rejeté cette nouvelle demande. Un recours contre cette décision a été rejeté par l'Office fédéral de la communication le 3 mars 2003. 65. La Cour observe en particulier que pour rejeter la demande de révision en question, le Tribunal fédéral s'est fondé notamment sur des motifs nouveaux, à savoir qu'en raison du temps écoulé, l'association requérante aurait perdu tout intérêt à voir diffuser le spot. Par comparaison, un des arguments principaux avancés par les instances internes pour rejeter la demande de diffusion du spot télévisé lors de la première procédure intentée par l'association requérante tenait à l'interdiction de la propagande politique. Ainsi, de l'avis même du Tribunal fédéral, le contexte général avait évolué au point de justifier la question de savoir si l'association requérante avait conservé un intérêt à la diffusion du spot. Ceci suffit à permettre de conclure que les décisions de rejet postérieures à l'arrêt du 28 juin 2001 constituent des faits nouveaux susceptibles de donner lieu à une nouvelle atteinte à l'article 10. 66. Selon le Gouvernement, la présente affaire devrait être déclarée irrecevable ratione materiae , l'exécution des arrêts de la Cour relevant, en vertu de l'article 46 de la Convention, de la seule compétence du Comité des Ministres. A cet égard, la Cour rappelle tout d'abord qu'en vertu de l'article 32 § 1 de la Convention, sa compétence s'étend « à toutes les questions concernant l'interprétation et l'application de la Convention et de ses protocoles qui lui seront soumises dans les conditions prévues par les articles 33, 34 et 47 ». Aux termes du paragraphe 2 de l'article 32, « (e)n cas de contestation sur le point de savoir si la Cour est compétente, la Cour décide ». 67. Cela dit, il ne saurait y avoir empiètement sur les compétences que le Comité des Ministres tire de l'article 46 là où la Cour connaît de faits nouveaux dans le cadre d'une nouvelle requête. De plus, en l'espèce, le Comité des Ministres a mis fin, par l'adoption de la Résolution ResDH (2003) 125, à sa surveillance de l'exécution de l'arrêt de la Cour du 28 juin 2001, sans toutefois avoir pris en compte l'arrêt du Tribunal fédéral du 29 avril 2002 ayant rejeté la demande de révision de l'association requérante, faute pour le Gouvernement de l'en avoir informé. Sous cet angle également, le rejet en question constitue donc un élément nouveau. Si la Cour ne pouvait en connaître, il serait soustrait à tout contrôle au titre de la Convention. 68. Il convient dès lors de rejeter également l'exception préliminaire tirée de l'incompétence ratione materiae . B. Sur le fond 1. Les thèses des parties a) L'association requérante 69. L'association requérante ne partage pas le point de vue exprimé par les juges de la minorité de la chambre, selon lequel elle aurait soumis une nouvelle demande tendant à la diffusion du spot justement parce que le spot dans sa version initiale était dépassé. Elle précise à cette fin que le spot lui-même n'a pas été modifié, mais simplement accompagné d'une note déclarant que ce spot avait été censuré et que cette censure avait été considérée contraire à l'article 10 par la Cour. En tout état de cause, l'association requérante soutient qu'il n'appartient pas aux autorités suisses de déterminer si une opinion exprimée dans un spot télévisé est dépassée ou non. 70. L'association requérante considère également comme non pertinent l'argument des juges de la minorité selon lequel la révision de l'arrêt du Tribunal fédéral n'était pas nécessaire. Au contraire, elle rappelle que l'arrêt du Tribunal fédéral infirmé par la Cour figure toujours dans le Recueil officiel des arrêts du Tribunal fédéral comme un arrêt de principe. Par ailleurs, elle fait valoir que le raisonnement du Tribunal fédéral dans son arrêt rendu à la suite de l'arrêt de la Cour témoigne du maintien de la censure. 71. D'après l'association requérante, l'arrêt de la chambre est bien fondé, puisqu'il prend suffisamment en compte les circonstances particulières de l'espèce. b) Le Gouvernement 72. Le Gouvernement estime que l'atteinte à la liberté d'expression serait justifiée sous l'angle de l'article 10 § 2 de la Convention. 73. Pour le Gouvernement, la Grande Chambre pourrait être appelée à répondre à la question de savoir si la Suisse avait l'obligation positive, au regard de l'article 10 de la Convention, de contraindre « Publisuisse SA » à diffuser le spot litigieux. De l'avis du Gouvernement, une telle obligation ne saurait être admise que si les trois conditions suivantes sont remplies : 1) le spot ne viole pas l'interdiction de la « publicité politique », telle qu'interprétée à la suite du premier arrêt de la Cour ; 2) le spot n'enfreint pas non plus d'autres règles en matière de radiodiffusion (par exemple publicité déloyale, tromperie), et 3) « Publisuisse SA » n'a aucune marge de manoeuvre pour refuser le spot, même si elle peut invoquer, de son côté, des droits fondamentaux, tels que sa liberté contractuelle et/ou la liberté économique. En admettant que les deux premières conditions soient remplies, il resterait à examiner la pondération des intérêts en jeu. A cet égard, le Gouvernement soutient que, même si les conditions d'une obligation positive sont réunies, de plus fortes raisons militent en faveur de la conclusion que la Suisse n'a en l'espèce violé aucune obligation de la sorte. 74. Par ailleurs, le Gouvernement rappelle qu'un des éléments centraux de l'argumentation de la Cour dans le premier arrêt Verein gegen Tierfabriken (VgT) c. Suisse , du 28 mai 2001, était le fait que « les programmes télévisés nationaux de la SSR (...) sont les seuls programmes diffusés dans tout le pays ». Or, selon le Gouvernement, ce constat reflète la situation qui régnait en 1994, mais ne correspond plus à la réalité des années 2001 et 2002. En effet, il ressort des chiffres publiés qu'en 2001, 37 % des recettes brutes en matière de publicité télévisée étaient réalisées par les deux chaînes germanophones de la SSR, 27 % par les fenêtres publicitaires destinées spécifiquement aux spectateurs dans la partie germanophone de la Suisse, 15 % par les chaînes privées nationales et régionales. D'après le Gouvernement, l'on ne saurait prétendre que l'évolution technique intervenue depuis aurait réduit cette situation de concurrence. L'association requérante disposait donc réellement d'autres solutions pour faire diffuser le spot litigieux. 75. Quoi qu'il en soit, le Gouvernement souscrit à l'opinion des juges de la minorité selon laquelle l'intérêt de l'association requérante à diffuser le spot n'était pas digne de protection. A cet égard, il estime qu'il faut prendre en compte, s'agissant d'apprécier le fond du grief, le fait que l'association requérante, simultanément à sa demande de révision, avait introduit un recours auprès de l' l'Office fédéral de la communication en vue d'obtenir l'autorisation de diffuser le spot muni du nouveau commentaire. c) Le tiers intervenant 76. Le gouvernement tchèque soutient que si l'on pouvait, à la limite, admettre l'existence d'un droit du requérant de voir effacées autant que possible les conséquences d'une violation de la Convention, ce droit trouverait son fondement non pas dans la Convention, mais plutôt dans les principes généraux du droit international concernant la responsabilité des Etats. Or, ce droit n'étant pas garanti par la Convention elle-même en tant que droit de l'homme ou liberté fondamentale, la Cour n'est nullement appelée à en assurer le respect au titre de l'article 19 de la Convention. 2. L'appréciation de la Cour a) L'arrêt de la chambre 77. La Cour rappelle tout d'abord que la chambre a estimé que le rejet de la demande de révision introduite par l'association requérante suite à l'arrêt de la Cour du 28 juin 2001 constituait une nouvelle ingérence dans l'exercice des droits garantis par l'article 10 § 1. Ayant laissé ouvertes les questions relatives à la base légale et aux buts légitimes de l'ingérence, la chambre a conclu à une violation de l'article 10 pour les raisons suivantes : « 62. La Cour, dans son arrêt du 28 juin 2001, a considéré que la mesure litigieuse n'était pas « nécessaire dans une société démocratique », au motif, notamment, que les autorités n'avaient pas démontré de manière « pertinente et suffisante » en quoi les motifs généralement avancés pour légitimer l'interdiction de la publicité à caractère « politique » pouvaient servir à justifier l'ingérence dans les circonstances particulières du cas d'espèce( Verein gegen Tierfabriken (VgT) , précité, § 75). En l'occurrence, le Tribunal fédéral a rejeté la demande de révision de l'association requérante au motif que celle-ci n'avait pas assez expliqué en quoi consistaient « la modification de l'arrêt et la restitution demandées », exigence formelle requise par l'article 140 de l'ancienne loi fédérale d'organisation judiciaire (paragraphe 20 ci-dessus). Or, la Cour est d'avis que cette approche s'avère excessivement formaliste, étant donné qu'il découlait de l'ensemble des circonstances de l'espèce que la demande du requérant visait nécessairement la diffusion du spot litigieux, interdite par la haute juridiction elle-même le 20 août 1997. De surcroît, le Tribunal fédéral a néanmoins ajouté que l'association requérante n'avait pas suffisamment démontré qu'elle avait encore un intérêt à la diffusion du spot litigieux dans sa version originale. Ainsi, le Tribunal fédéral s'est en réalité substitué à celle-là sur la question de savoir s'il existait encore un intérêt à la diffusion du spot litigieux. En revanche, il n'a pas exposé lui-même dans quelle mesure le débat public dans le domaine de l'élevage en batterie avait changé, ou avait perdu de son actualité, depuis le moment de la diffusion initialement prévue du spot en 1994. 63. Dès lors la Cour, tout en étant consciente de la marge d'appréciation dont disposaient les autorités suisses en la matière( Verein gegen Tierfabriken (VgT) , précité, § 67), n'est pas convaincue que le Tribunal fédéral a appliqué le droit pertinent, conformément aux principes consacrés à l'article 10 de la Convention. Cela étant, les motifs invoqués par la haute juridiction suisse, considérés à la lumière de l'ensemble de l'affaire et compte tenu de l'intérêt de la société démocratique à assurer et à maintenir la liberté d'expression en des matières qui comportent indubitablement un intérêt général, n'apparaissent pas « pertinents et suffisants » pour justifier l'ingérence litigieuse. » b) Obligation positive de l'Etat défendeur de prendre les mesures nécessaires afin de permettre la diffusion du spot télévisé i. Remarques préliminaires 78. Contrairement à la chambre, la Grande Chambre estime opportun d'aborder la présente requête sous l'angle de l'obligation positive de l'Etat défendeur de prendre les mesures nécessaires afin de permettre la diffusion du spot litigieux. 79. Aux termes de l'article 1 de la Convention, les Etats contractants « reconnaissent à toute personne relevant de leur juridiction les droits et libertés définis (...) [dans] la (...) Convention. » Ainsi que la Cour l'a dit dans l'affaire Marckx (précité, § 31 ; voir également Young, James et Webster c. Royaume-Uni , arrêt du 13 août 1981, série A no 44, § 49), à l'engagement plutôt négatif d'un Etat de s'abstenir de toute ingérence dans les droits garantis par la Convention « peuvent s'ajouter des obligations positives inhérentes » à ces droits. 80. A cet égard, la Cour rappelle l'importance de la liberté d'expression, qui constitue l'une des conditions préalables au bon fonctionnement de la démocratie. L'exercice réel et « effectif » de cette liberté ne dépend pas simplement du devoir de l'Etat de s'abstenir de toute ingérence, mais peut exiger des mesures positives (voir, mutatis mutandis , les arrêts Özgür Gündem c. Turquie , no 23144/93 , §§ 42-46, CEDH 2000-III, et Fuentes Bobo c. Espagne , no 39293/98 , § 38, 29 février 2000). 81. Pour déterminer s'il existe une obligation positive, il faut prendre en compte - souci sous-jacent à la Convention tout entière - le juste équilibre à ménager entre l'intérêt général et les intérêts de l'individu. L'étendue de cette obligation varie inévitablement, en fonction de la diversité des situations dans les Etats contractants et des choix à faire en termes de priorités et de ressources. Toutefois, cette obligation ne doit pas être interprétée de manière à imposer aux autorités un fardeau insupportable ou excessif (voir, par exemple, les arrêts Osman c. Royaume-Uni , 28 octobre 1998, Recueil 1998-VIII, § 116, et Appleby et autres c. Royaume-Uni , no 44306/98 , § 40, CEDH 2003-VI). 82. Par ailleurs, la frontière entre les obligations positives et les obligations négatives de l'Etat au titre de la Convention ne se prête pas à une définition précise. Les principes applicables sont néanmoins comparables. Que l'on analyse l'affaire sous l'angle d'une obligation positive à la charge de l'Etat ou sous celui d'une ingérence des pouvoirs publics demandant une justification, les critères à appliquer ne sont pas différents en substance. Dans les deux cas, il faut avoir égard au juste équilibre à ménager entre les intérêts concurrents en jeu (voir, mutatis mutandis , Sørensen et Rasmussen c. Danemark [GC], nos 52562/99 et 52620/99 CEDH 2006-I, § 58, et Hatton et autres c. Royaume-Uni [GC], no 36022/97 , §§ 98 et suiv., CEDH 2003-VIII). ii. Les principes en matière d'exécution des arrêts de la Cour 83. La Cour rappelle qu'il convient de lire la Convention comme un tout. Dans le contexte de la présente affaire, la question de savoir s'il y a eu une nouvelle violation de l'article 10 doit nécessairement être examinée en tenant compte de l'importance, dans le système de la Convention, de l'exécution effective des arrêts de la Cour conformément à l'article 46 de la Convention qui est libellé comme suit : 1. Les Hautes Parties contractantes s'engagent à se conformer aux arrêts définitifs de la Cour dans les litiges auxquels elles sont parties. 2. L'arrêt définitif de la Cour est transmis au Comité des Ministres qui en surveille l'exécution. » 84. A cet égard, il y a lieu de rappeler que l'un des traits les plus significatifs du système de la Convention réside dans le fait qu'il est doté d'un mécanisme de contrôle du respect de ses dispositions. Ainsi, la Convention n'impose pas seulement aux Etats parties le respect des droits et obligations qui en découlent, mais elle met également sur pied un organe juridictionnel, la Cour, habilité à constater des violations de la Convention dans le cadre d'arrêts définitifs auxquels les Etats parties se sont engagés à se conformer (article 19, combiné avec l'article 46 § 1). De surcroît, elle institue un mécanisme de surveillance de l'exécution des arrêts, sous la responsabilité du Comité des Ministres (article 46 § 2 de la Convention). Ce mécanisme démontre l'importance que revêt la mise en oeuvre effective des arrêts. 85. S'agissant des exigences de l'article 46, il y a lieu de rappeler tout d'abord que l'Etat défendeur reconnu responsable d'une violation de la Convention ou de ses Protocoles est tenu de se conformer aux décisions de la Cour dans les litiges auxquels il est partie. En d'autres termes, l'inexécution ou l'exécution lacunaire d'un arrêt de la Cour peut entraîner la responsabilité internationale de l'Etat partie. Celui-ci est appelé non seulement à verser aux intéressés les sommes allouées à titre de satisfaction équitable, mais aussi à prendre des mesures individuelles et/ou, le cas échéant, générales dans son ordre juridique interne, afin de mettre un terme à la violation constatée par la Cour et d'en effacer les conséquences, l'objectif étant de placer le requérant, autant que possible, dans une situation équivalente à celle dans laquelle il se trouverait s'il n'y avait pas eu manquement aux exigences de la Convention (voir, parmi beaucoup d'autres, Scozzari et Giunta c. Italie [GC], nos 39221/98 et 41963/98, § 249, CEDH 2000-VIII, Assanidzé c. Georgie [GC], no 71503/01 , § 198, CEDH 2004-II). 86. Ces obligations font écho aux principes de droit international selon lesquels un Etat responsable d'un acte illicite a le devoir d'assurer une restitution, laquelle consiste dans le rétablissement de la situation qui existait avant que l'acte illicite ne fût commis, pour autant que cette restitution ne soit pas « matériellement impossible et n'impose pas une charge hors de toute proportion avec l'avantage qui dériverait de la restitution plutôt que de l'indemnisation » (article 35 du projet d'articles de la Commission du droit international relatif à la responsabilité des Etats pour fait internationalement illicite, paragraphe 36 ci-dessus). En d'autres termes, si la restitution est la règle, il peut y avoir des circonstances dans lesquelles l'Etat responsable se voit exonéré - en tout ou en partie - de l'obligation de restituer, à condition toutefois qu'il en établisse dûment l'existence. 87. En tout état de cause, les Etats défendeurs sont tenus de fournir au Comité des Ministres une information complète et à jour au sujet de l'évolution du processus d'exécution des arrêts qui les lient (voir la Règle 6 des Règles du Comité des Ministres pour la surveillance de l'exécution des arrêts et des termes des règlements amiables; paragraphe 35 ci-dessus). A cet égard, la Cour souligne l'obligation qui incombe aux Etats d'exécuter les traités de bonne foi, comme le rappellent notamment l'alinéa 3 du préambule ainsi que l'article 26 de la Convention de Vienne sur le droit des traités de 1969 (paragraphe 37 ci-dessus). 88. Certes, l'Etat défendeur reste libre en principe, sous le contrôle du Comité des Ministres, de choisir les moyens de s'acquitter de ses obligations au titre de l'article 46 § 1 de la Convention, pour autant que ces moyens soient compatibles avec les conclusions contenues dans l'arrêt de la Cour ( Scozzari et Giunta , précité, § 249, et Lyons et autres , précitée, p. 431). Cependant, dans certaines situations particulières, il est arrivé que la Cour ait estimé utile d'indiquer à un Etat défendeur le type de mesures à prendre pour mettre un terme à la situation - souvent structurelle - qui avait donné lieu à un constat de violation (voir, à titre d'exemple, Öcalan c. Turquie [GC], no 46221/99 , § 210, CEDH 2005-IV, Popov c. Russie , no 26853/04, § 263, 13 juillet 2006). Parfois même, la nature de la violation constatée ne laisse pas de choix quant aux mesures à prendre ( Assanidzé , précité, § 202). 89. S'agissant en particulier de la réouverture d'une procédure, il est clair que la Cour n'a pas compétence pour ordonner de telles mesures (voir, parmi d'autres, Saïdi c. France , arrêt du 20 septembre 1993, série A no 261-C, § 47, et Pelladoah c. Pays-Bas , arrêt du 22 septembre 1994, série A no 297-B, § 44). Toutefois, lorsqu'un particulier a été condamné à l'issue d'une procédure entachée de manquements aux exigences de l'article 6 de la Convention, la Cour peut indiquer qu'un nouveau procès ou une réouverture de la procédure, à la demande de l'intéressé, représente en principe un moyen approprié de redresser la violation constatée (voir, parmi d'autres, Gençel c. Turquie , no 53431/99, § 27, 23 octobre 2003, Öcalan , précité, § 210, et Claes et autres c. Belgique , nos 46825/99, 47132/99, 47502/99, 49010/99, 49104/99, 49195/99 et 49716/99, § 53, 2 juin 2005). Cela correspond aux indications du Comité des Ministres qui, dans sa Recommandation R(2000)2, invite les Etats parties à la Convention à instaurer des mécanismes de réexamen de l'affaire et de réouverture de la procédure au niveau interne, considérant que ceux-ci représentent « le moyen le plus efficace, voire le seul, pour réaliser la restitutio in integrum » (paragraphe 33 ci-dessus). 90. En l'espèce, la chambre a estimé que la réouverture de la procédure au niveau interne pouvait constituer un aspect important de l'exécution des arrêts de la Cour. La Grande Chambre partage ce point de vue. Encore faut-il, toutefois, que cette réouverture permette aux autorités de l'Etat défendeur de se conformer aux conclusions et à l'esprit de l'arrêt de la Cour à exécuter, dans le respect des garanties procédurales de la Convention. Il en va d'autant plus ainsi quand le Comité des Ministres se contente, comme en l'espèce, de constater l'existence d'une procédure de révision sans en attendre l'issue. En d'autres termes, la réouverture d'une procédure ayant violé la Convention n'est pas une fin en soi, elle n'est qu'un moyen - certes privilégié - susceptible d'être mis en oeuvre en vue d'un objectif : l'exécution correcte et entière des arrêts de la Cour. Dès lors que celle-ci constitue le seul critère d'évaluation du respect de l'article 46 § 1, lequel critère est le même pour tous les Etats contractants, il n'en résulte aucune discrimination entre ceux qui ont introduit une procédure de révision dans leur ordre juridique et les autres. iii. Application de ces principes au cas d'espèce 91. La Cour doit vérifier si, à la lumière de l'importance que revêt l'exécution de ses arrêts dans le système de la Convention et des principes qui régissent la matière, une obligation positive pesait sur l'Etat défendeur de prendre les mesures nécessaires afin de permettre la diffusion du spot litigieux à la suite de l'arrêt de la Cour ayant constaté une violation de l'article 10. Pour déterminer s'il existe une telle obligation, il faut prendre en compte le juste équilibre à ménager entre l'intérêt général et les intérêts de l'individu. 92. La Cour rappelle que l'article 10 § 2 de la Convention ne laisse guère de place pour des restrictions à la liberté d'expression dans le domaine du discours politique ou, comme ici, des questions d'intérêt général ( Lingens c. Autriche du 8 juillet 1986, série A no 103, § 42, Castells c. Espagne du 23 avril 1992, série A no 236, § 43, Thorgeir Thorgeirson c. Islande du 25 juin 1992, série A no 239, § 63, Wingrove c. Royaume-Uni , arrêt du 25 novembre 1996, Recueil des arrêts et décisions 1996-V, § 58, et Monnat c. Suisse , no 73604/01 , § 58, CEDH 2006-X). Il en va d'autant plus ainsi en l'espèce, eu égard à l'arrêt de la Cour du 28 juin 2001. En outre, le spot télévisé portait sur l'élevage des porcs en batterie. Ayant trait à la santé des consommateurs ainsi qu'à la protection des animaux et de l'environnement, il présentait donc un intérêt public certain. 93. La Cour note également que le spot télévisé n'a jamais été diffusé, même pas après l'arrêt de la Cour ayant jugé sa non diffusion comme contraire à la liberté d'expression. Or, les restrictions préalables à une publication présentent de si grands dangers qu'elles appellent l'examen le plus scrupuleux ( Sunday Times c. Royaume-Uni (no 2) , 26 novembre 1991, § 51, série A no 217, et Dammann c. Suisse , no 77551/01 , § 52, 25 avril 2006). 94. Par ailleurs, dans son arrêt du 28 juin 2001, la Cour a déjà considéré que l'ingérence litigieuse n'était pas nécessaire dans une société démocratique, au motif notamment que les autorités n'avaient pas démontré de manière pertinente et suffisante en quoi les motifs généralement avancés pour légitimer l'interdiction de la publicité à caractère « politique » pouvaient servir à justifier l'ingérence dans les circonstances particulières de l'espèce ( Verein gegen Tierfabriken (VgT) , précité, § 75). Par la suite, le Tribunal fédéral a rejeté la demande de révision de l'association requérante au motif que celle-ci n'avait pas suffisamment indiqué en quoi devaient consister, selon elle, « la modification de l'arrêt et la restitution demandées », exigence formelle prévue par l'article 140 de l'ancienne loi fédérale d'organisation judiciaire (paragraphe 29 ci-dessus). Sur ce point, la Grande Chambre partage l'avis exprimé par la chambre, au paragraphe 62 de son arrêt, qui trouve cette approche excessivement formaliste dans un contexte où il découle de l'ensemble des circonstances que la demande de l'association requérante visait nécessairement la diffusion du spot litigieux, interdite par la haute juridiction elle-même le 20 août 1997. 95. Le Tribunal fédéral a considéré également que l'association requérante n'avait pas suffisamment démontré qu'elle avait encore un intérêt à la diffusion du spot litigieux. Comme la chambre l'a observé au paragraphe 62 de son arrêt, le Tribunal fédéral s'était ainsi substitué à l'association requérante à qui seule il revenait, à ce stade, d'apprécier la persistance d'un intérêt à la diffusion du spot litigieux. La Grande Chambre partage ce point de vue. Elle observe également que l'intérêt que présente pour le public la diffusion d'une publication ne diminue pas nécessairement avec le passage du temps (voir, en ce sens, Editions Plon c. France , no 58148/00 , § 53, CEDH 2004-IV). Du reste, le Tribunal fédéral n'a pas non plus exposé lui-même dans quelle mesure le débat public dans le domaine de l'élevage en batterie aurait changé, ou aurait perdu de son actualité, depuis le moment de la diffusion initialement prévue du spot, en 1994. Il n'a pas non plus démontré qu'après l'arrêt de la Cour du 28 juin 2001 les circonstances auraient changé au point de mettre en doute la validité des motifs à l'appui desquels la Cour avait constaté la violation de l'article 10. Enfin, il y a lieu de rejeter également l'argument selon lequel l'association requérante aurait disposé d'autres solutions pour faire diffuser le spot litigieux, notamment en faisant appel aux chaînes privées et régionales, car il vise à faire porter par des tiers, voire par l'association requérante elle-même, une responsabilité qui incombe uniquement aux autorités nationales : celle de donner la suite qui convient à un arrêt de la Cour. 96. En outre, la thèse selon laquelle la diffusion du spot télévisé risquerait d'être perçue comme désagréable, notamment par les consommateurs ou les commerçants et producteurs de viande, n'est pas de nature à justifier le maintien de l'interdiction du spot. La Cour rappelle, à cet égard, que la liberté d'expression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 Handyside c. Royaume-Uni , 7 décembre 1976, § 49, série A no 24, Lehideux et Isorni c. France , 23 septembre 1998, § 55, Recueil des arrêts et décisions 1998-VII, Murphy c. Irlande , no 44179/98 , § 72, CEDH 2003-IX (extraits), et Monnat , précité, § 55). 97. La Cour rappelle enfin qu'il appartient aux Etats contractants d'organiser leurs juridictions de manière à leur permettre de répondre aux exigences de la Convention (voir, mutatis mutandis , Bottazzi c. Italie [GC], no 34884/97 , § 22, CEDH 1999-V, avec la jurisprudence citée). Ce principe s'applique également à l'exécution des arrêts de la Cour. Il n'est donc pas pertinent non plus dans ce contexte d'affirmer, comme le fait le Gouvernement, que de toute façon le Tribunal fédéral n'aurait pas pu ordonner la diffusion du spot litigieux à la suite de l'arrêt de la Cour. Il en va de même de l'argument d'après lequel l'association requérante aurait dû engager une procédure civile. iv. Conclusion 98. Compte tenu de ce qui précède, la Cour estime que les autorités suisses ont manqué à leur obligation positive découlant en l'espèce de l'article 10 de la Convention. Il y a donc eu violation de cette disposition. II. SUR L'APPLICATION DE L'ARTICLE 41 DE LA CONVENTION 99.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100. L'association requérante ne demande aucun montant pour dommage matériel ou moral. B. Frais et dépens 101. L'association requérante réclame 4 000 EUR au titre de frais et dépens pour la procédure devant la Grande Chambre. 102. Le Gouvernement invite la Cour, compte tenu du mémoire plutôt succinct du représentant de l'association requérante, à réduire ce montant de manière adéquate. 103. A la lumière des éléments en sa possession et des critères dégagés dans sa jurisprudence, la Cour estime raisonnables les prétentions de l'association requérante. Partant, elle octroie à l'intéressée la somme de 4 000 EUR, plus tout montant pouvant être dû à titre d'impôt par l'association requérante, au titre des frais et dépens pour les frais exposés devant la Grande Chambre. C. Intérêts moratoires 104.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