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19980825_25181_94 vom 25. August 1998</w:t>
      </w:r>
    </w:p>
    <w:p>
      <w:r>
        <w:t>EGMR (Schweiz), 1998-08-25, FR</w:t>
      </w:r>
    </w:p>
    <w:p>
      <w:r>
        <w:rPr>
          <w:b/>
        </w:rPr>
        <w:t xml:space="preserve">Quelle: </w:t>
      </w:r>
      <w:r>
        <w:t>https://mcp.opencaselaw.ch/entscheid/bge_egmr_19980825_25181_94</w:t>
      </w:r>
    </w:p>
    <w:p>
      <w:r>
        <w:t>FR: CourEDH 19980825_25181_94 du 25 août 1998</w:t>
      </w:r>
    </w:p>
    <w:p>
      <w:r>
        <w:t>IT: CorteEDU 19980825_25181_94 del 25 agosto 1998</w:t>
      </w:r>
    </w:p>
    <w:p>
      <w:pPr>
        <w:pStyle w:val="Heading2"/>
      </w:pPr>
      <w:r>
        <w:t>Regeste</w:t>
      </w:r>
    </w:p>
    <w:p>
      <w:r>
        <w:t>Urteilskopf 25181/94 Hertel Hans Ulrich gegen Schweiz Urteil no. 59/1997/843/1049, 25 août 1998</w:t>
      </w:r>
    </w:p>
    <w:p>
      <w:r>
        <w:t>Regeste Diese Zusammenfassung existiert nur auf Französisch. SUISSE: Art. 10 CEDH. Interdiction faite au requérant d'affirmer la nocivité pour la santé humaine des aliments préparés dans les fours à micro-ondes suite à la publication d'un article. Il était prévisible que la publication de l'article en cause était susceptible de constituer un acte de concurrence déloyale; prévue par la loi, cette ingérence poursuivait le but légitime de protection des droits d'autrui (ch. 35 - 38 et 42). Les autorités disposaient d'une certaine marge d'appréciation pour juger de l'existence d'un "besoin social impérieux" de prendre la mesure litigieuse; si celle-ci apparaît indispensable en matière commerciale, spécialement dans un domaine aussi complexe et fluctuant que la concurrence déloyale, il convient toutefois de la relativiser lorsque l'individu n'a pas tenu un discours strictement commercial mais a participé à un débat touchant à l'intérêt général, par exemple la santé publique. En l'espèce, le requérant n'a participé ni à la rédaction ni au choix de l'illustration - symbole de la "Mort" - de la publication en cause; les propos qui lui sont véritablement imputables sont plutôt nuancés et aucun élément ne permet de conclure à un impact substantiel de ceux-ci sur les intérêts des fabricants. Il y a ainsi un décalage avec l'ampleur de l'interdiction portant sur la substance même de la thèse du requérant, qui a sa place dans un débat public même si elle est minoritaire et peut sembler dénuée de fondement; en effet, il serait particulièrement excessif de limiter la liberté d'expression à l'exposé des seules idées généralement admises. Eu égard à ce qui précède et vu la gravité des sanctions encourues, la mesure litigieuse ne saurait passer pour nécessaire dans une société démocratique (ch. 46 - 51). Conclusion: violation de l'art. 10 CEDH. Sachverhalt En l'affaire Hertel c. Suisse, [2] La Cour européenne des Droits de l'Homme, constituée, conformément à l'article 43 de la Convention de sauvegarde des Droits de l'Homme et des Libertés fondamentales (« la Convention ») et aux clauses pertinentes de son règlement B [3] , en une chambre composée des juges dont le nom suit : MM. R. Bernhardt, président , F. Matscher, A. Spielmann, N. Valticos, Mme E. Palm, MM. L. Wildhaber, K. Jungwiert, J. Casadevall, V. Toumanov, ainsi que de MM. H. Petzold, greffier , et P.J. Mahoney, greffier adjoint , Après en avoir délibéré en chambre du conseil les 28 mars et 24 juin 1998, Rend l'arrêt que voici, adopté à cette dernière date : PROCéDURE 1. L'affaire a été déférée à la Cour, dans le délai de trois mois qu'ouvrent les articles 32 § 1 et 47 de la Convention, par un ressortissant suisse, M. Hans Ulrich Hertel (« le requérant »), le 29 mai 1997 puis, les 3 juin et 15 juillet 1997 respectivement, par la Commission européenne des Droits de l'Homme (« la Commission ») et le gouvernement de la Confédération suisse (« le Gouvernement »). A son origine se trouve une requête (n° 25181/94) dirigée contre la Suisse et dont le requérant avait saisi la Commission le 13 septembre 1994 en vertu de l'article 25. Désigné par les initiales H.U.H. pendant la procédure devant la Commission, il a ultérieurement consenti à la divulgation de son identité. Les requêtes à la Cour renvoient à l'article 48 de la Convention tel qu'amendé par le Protocole n° 9 que la Suisse a ratifié. Elles ont pour objet d'obtenir une décision sur le point de savoir si les faits de la cause révèlent un manquement de l'Etat défendeur aux exigences des articles 6 § 1, 8 et 10 de la Convention. 2. En réponse à l'invitation prévue à l'article 35 § 3 d) du règlement B, le requérant a désigné son conseil (article 31 du règlement B). 3. La chambre à constituer comprenait de plein droit M. L. Wildhaber, juge élu de nationalité suisse (article 43 de la Convention), et M. R. Ryssdal, président de la Cour (article 21 § 4 b) du règlement B). Le 3 juillet 1997, en présence du greffier adjoint, celui-ci a tiré au sort le nom des sept autres membres, à savoir M. F. Matscher, M. A. Spielmann, M. N. Valticos, Mme E. Palm, M. K. Jungwiert, M. J. Casadevall et M. V. Toumanov (articles 43 in fine de la Convention et 21 § 5 du règlement B). Par la suite, M. Ryssdal, décédé le 18 février 1998, a été remplacé à la présidence de la chambre par M. R. Bernhardt, vice-président de la Cour (article 21 § 6, second alinéa, du règlement B). 4. En sa qualité de président de la chambre (article 21 § 6 du règlement B), M. Ryssdal avait consulté, par l'intermédiaire du greffier, l'agent du Gouvernement, le conseil du requérant et le délégué de la Commission au sujet de l'organisation de la procédure (articles 39 § 1 et 40). Conformément à l'ordonnance rendue en conséquence, le greffier a reçu les mémoires du requérant et du Gouvernement les 5 et 12 décembre 1997 respectivement. Le 16 janvier 1998, le secré</w:t>
      </w:r>
    </w:p>
    <w:p>
      <w:pPr>
        <w:pStyle w:val="Heading2"/>
      </w:pPr>
      <w:r>
        <w:t>Erwägungen</w:t>
      </w:r>
    </w:p>
    <w:p>
      <w:r>
        <w:rPr>
          <w:b/>
        </w:rPr>
        <w:t>E. 30</w:t>
      </w:r>
    </w:p>
    <w:p>
      <w:r>
        <w:t>D'après le requérant, l'interdiction dont les juridictions suisses l'ont frappé en vertu de la loi fédérale contre la concurrence déloyale du 19 décembre 1986 a enfreint l'article 10 de la Convention, aux termes duquel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Le Gouvernement combat cette thèse, tandis que la Commission y souscrit.</w:t>
      </w:r>
    </w:p>
    <w:p>
      <w:r>
        <w:rPr>
          <w:b/>
        </w:rPr>
        <w:t>E. 31</w:t>
      </w:r>
    </w:p>
    <w:p>
      <w:r>
        <w:t>La Cour observe qu'il est fait interdiction à M. Hertel, sous peine des sanctions des articles 292 du code pénal et 403 du code de procédure pénale,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dans des publications et dans des discours publics concernant les fours à micro-ondes (paragraphes 20, 22 et 23 ci-dessus). Il est donc manifeste que l'intéressé subit une « ingérence d'autorités publiques » dans l'exercice du droit garanti par l'article 10 ; cela n'est d'ailleurs pas controversé. Pareille immixtion enfreint la Convention si elle ne remplit pas les exigences du paragraphe 2 de l'article 10. Il y a donc lieu de déterminer si elle était « prévue par la loi », inspirée par un ou des buts légitimes au regard dudit paragraphe et « nécessaire, dans une société démocratique », pour les atteindre. A. « Prévue par la loi »</w:t>
      </w:r>
    </w:p>
    <w:p>
      <w:r>
        <w:rPr>
          <w:b/>
        </w:rPr>
        <w:t>E. 32</w:t>
      </w:r>
    </w:p>
    <w:p>
      <w:r>
        <w:t>Le requérant conteste que l'ingérence litigieuse fût « prévue par la loi ». Selon lui, n'étant pas un acteur du marché des appareils électroménagers, il ne pouvait raisonnablement prévoir qu'en communiquant son rapport d'étude au Journal Franz Weber il était susceptible de commettre un acte de concurrence déloyale au sens de la loi du 19 décembre 1986. La question de l'ampleur du champ d'application de celle-ci serait d'ailleurs controversée.</w:t>
      </w:r>
    </w:p>
    <w:p>
      <w:r>
        <w:rPr>
          <w:b/>
        </w:rPr>
        <w:t>E. 33</w:t>
      </w:r>
    </w:p>
    <w:p>
      <w:r>
        <w:t>Le Gouvernement réplique que la mesure frappant le requérant repose sur les articles 2, 3 et 9 de la loi du 19 décembre 1986 et sur l'interprétation que le Tribunal fédéral donne de ces dispositions. Il en ressortirait que même une personne qui ne se trouve pas dans une « situation de concurrence avec des fournisseurs ou des acheteurs » de tels biens peut agir de façon « déloyale » au sens de ladite loi dès lors qu'elle commet un « acte de concurrence », c'est-à-dire un acte propre à influencer le marché ; l'« intention subjective » de parvenir à cette fin ne serait pas pertinente. La diffusion des assertions litigieuses étant de nature à produire un « impact objectif » sur le commerce des fours à micro-ondes, M. Hertel ne pourrait soutenir qu'il n'était pas prévisible que l'interdiction de l'article 9 le frapperait.</w:t>
      </w:r>
    </w:p>
    <w:p>
      <w:r>
        <w:rPr>
          <w:b/>
        </w:rPr>
        <w:t>E. 34</w:t>
      </w:r>
    </w:p>
    <w:p>
      <w:r>
        <w:t>La Commission parvient à la même conclusion.</w:t>
      </w:r>
    </w:p>
    <w:p>
      <w:r>
        <w:rPr>
          <w:b/>
        </w:rPr>
        <w:t>E. 35</w:t>
      </w:r>
    </w:p>
    <w:p>
      <w:r>
        <w:t>La Cour rappelle que l'on ne peut considérer comme une « loi » au sens de l'article 10 § 2 qu'une norme énoncée avec assez de précision pour permettre au citoyen de régler sa conduite ; en s'entourant au besoin de conseils éclairés, il doit être à même de prévoir, à un degré raisonnable dans les circonstances de la cause, les conséquences de nature à dériver d'un acte déterminé. Elles n'ont pas besoin d'être prévisibles avec une certitude absolue. La certitude, bien que souhaitable, s'accompagne parfois d'une rigidité excessive ; or le droit doit savoir s'adapter aux changements de situation. Aussi beaucoup de lois se servent-elles, par la force des choses, de formules plus ou moins vagues dont l'interprétation et l'application dépendent de la pratique (voir, par exemple, l'arrêt Sunday Times c.Royaume-Uni (n° 1) du 26 avril 1979, série A n° 30, p. 31, § 49).</w:t>
      </w:r>
    </w:p>
    <w:p>
      <w:r>
        <w:rPr>
          <w:b/>
        </w:rPr>
        <w:t>E. 36</w:t>
      </w:r>
    </w:p>
    <w:p>
      <w:r>
        <w:t>En l'espèce, l'article 2 de la loi fédérale contre la concurrence déloyale du 19 décembre 1986 (« LCD ») contient une clause générale selon laquelle sont « déloya[ux] et illicite[s] » non seulement toute pratique commerciale mais aussi tout comportement « qui est trompeur ou qui contrevient de toute autre manière aux règles de la bonne foi et qui influe sur les rapports entre concurrents ou entre fournisseurs et clients ». Par ailleurs, l'article 3, qui énumère certains agissements déloyaux, précise notamment qu'« agit de façon déloyale celui qui (...) dénigre autrui, ses marchandises, ses oeuvres, ses prestations, ses prix ou ses affaires par des allégations inexactes, fallacieuses ou inutilement blessantes (...) » (paragraphe 25 ci-dessus). La LCD ne restreint donc pas son champ d'application aux seuls agents économiques : les tiers au marché tel M. Hertel sont aussi concernés. Si des doutes devaient subsister quant à la volonté expresse du législateur à cet égard, ceux-ci s'effaceraient à la lecture du message du Conseil fédéral à l'appui du projet de ladite loi (message du 18 mai 1983, FF 1983 II 1037). Il en ressort en effet que les auteurs du projet entendaient, à l'instar du législateur de 1943, assurer la protection de la concurrence en tant qu'« institution » plutôt que des seuls « concurrents ». Le message précise d'ailleurs ce qui suit (chapitre 241.2, relatif au commentaire du projet d'article 2) : « (...) La violation de la bonne foi s'exprime dans des comportements ou dans des pratiques commerciales qui influent sur les rapports entre les concurrents ou entre les fournisseurs et les clients. (...) La notion de comportement qui doit s'entendre dans le sens d'influence sur les relations de concurrence permettra d'inclure également des agissements de tiers, importants pour la concurrence, mais qui ne rentrent pas directement dans le jeu de la concurrence, soit du côté des concurrents, soit de celui des clients. Le cercle des auteurs d'agissements importants pour la concurrence sera donc étendu. Il est parfaitement envisageable que des organisations de consommateurs puissent également influencer déloyalement la concurrence en publiant des tests comparatifs ou en parlant d'articles de presse, d'émissions de radio ou de télévision. L'extension du domaine protégé en vertu de la LCD à de plus larges milieux a pour conséquence de faire en sorte que ces milieux devront assumer leurs responsabilités et pourront être amenés à se justifier pour cause d'influence déloyale sur la concurrence. L'intention d'appréhender de façon large le cercle des auteurs possible n'est par ailleurs pas nouvelle. Le message de 1942 au sujet de la LCD (FF 1942 685) constate que la concurrence déloyale peut n'être pas uniquement le fait des concurrents, mais que la loi est également applicable lorsque des tiers ou des associations interviennent dans la concurrence en faveur de certaines entreprises (...). Cette conception est précisée dans certains faits constitutifs de l'actuelle LCD où il est expressément fait mention de l'activité de tierces personnes (...). La nouvelle formulation de cet article précise très nettement et de façon définitive que le cercle des auteurs potentiels d'une concurrence déloyale sera désormais beaucoup plus large ; il est ainsi inutile de mentionner explicitement des tiers lorsqu'il s'agit d'un comportement n'impliquant pas une position concurrentielle. De même la vieille querelle au sujet de la nécessité d'une relation de concurrence pour l'application de la LCD deviendra ainsi sans objet. La doctrine a relevé, depuis un temps certain, que l'exigence d'une relation de concurrence aboutissait à des restrictions inopportunes (...) (...) » Le message ajoute (chapitre 241.31, relatif au commentaire du projet d'article 3 a) : « (...) La formulation très large de la clause générale (...) tient compte du fait que des tiers peuvent également influencer ou perturber déloyalement les rapports de concurrence. Dans le cas concret, cela signifie qu'un dénigrement peut être commis par des personnes, des organisations ou des associations qui ne sont pas elles-mêmes des concurrents. Ce qui est décisif, c'est le fait de savoir si les allégations inexactes, fallacieuses ou inutilement blessantes entravent de manière inadmissible la position commerciale de celui qui est attaqué ou les relations de concurrence. »</w:t>
      </w:r>
    </w:p>
    <w:p>
      <w:r>
        <w:rPr>
          <w:b/>
        </w:rPr>
        <w:t>E. 37</w:t>
      </w:r>
    </w:p>
    <w:p>
      <w:r>
        <w:t>Le Tribunal fédéral avait du reste déjà, à l'époque des faits de la cause, indiqué que l'existence d'une « relation de concurrence » entre l'auteur de l'acte en litige et la personne qu'il lèse ne constitue pas une condition de l'application de la loi du 19 décembre 1986 et avait ainsi jugé qu'un journaliste peut, par ses propres exposés ou par la reproduction de ceux d'autrui, se rendre coupable d'infractions à certaines de ses dispositions (arrêt du 18 mars 1991 ; Arrêts du Tribunal fédéral suisse (ATF) 117 IV 193).</w:t>
      </w:r>
    </w:p>
    <w:p>
      <w:r>
        <w:rPr>
          <w:b/>
        </w:rPr>
        <w:t>E. 38</w:t>
      </w:r>
    </w:p>
    <w:p>
      <w:r>
        <w:t>La Cour reconnaît en conséquence qu'il était « prévisible » que la communication du rapport d'étude litigieux au Journal Franz Weber et la publication consécutive de celui-ci étaient susceptibles de constituer un acte de « concurrence » au sens de la LCD. Ceci étant, il lui suffit, pour conclure que l'ingérence était « prévue par la loi », de constater que l'article 3 LCD précise qu'« agit de façon déloyale celui qui, notamment (...) dénigre autrui, ses marchandises, ses services, ses oeuvres, ses prestations, ses prix ou ses affaires par des allégations inexactes, fallacieuses ou inutilement blessantes (...) » et que l'article 9 dispose que « Celui qui, par un acte de concurrence déloyale, subit une atteinte dans sa clientèle, son crédit ou sa réputation professionnelle, ses affaires ou ses intérêts économiques en général ou celui qui en est menacé, peut demander au juge (...) de l'interdire, si elle est imminente » (paragraphe 25 ci-dessus). B. But légitime</w:t>
      </w:r>
    </w:p>
    <w:p>
      <w:r>
        <w:rPr>
          <w:b/>
        </w:rPr>
        <w:t>E. 39</w:t>
      </w:r>
    </w:p>
    <w:p>
      <w:r>
        <w:t>Le requérant soutient que le but poursuivi en l'espèce - la garantie d'une concurrence « loyale » et donc la protection de simples intérêts commerciaux - ne figure pas parmi ceux limitativement énumérés au paragraphe 2 de l'article 10.</w:t>
      </w:r>
    </w:p>
    <w:p>
      <w:r>
        <w:rPr>
          <w:b/>
        </w:rPr>
        <w:t>E. 40</w:t>
      </w:r>
    </w:p>
    <w:p>
      <w:r>
        <w:t>Le Gouvernement plaide que l'interdiction prononcée contre le requérant visait à préserver les consommateurs et fournisseurs de la diffusion d'indications trompeuses et fallacieuses sur les caractéristiques des services et biens offerts sur le marché. Elle tendait ainsi non seulement à la protection des « droits d'autrui » mais aussi à la « défense de l'ordre » économique.</w:t>
      </w:r>
    </w:p>
    <w:p>
      <w:r>
        <w:rPr>
          <w:b/>
        </w:rPr>
        <w:t>E. 41</w:t>
      </w:r>
    </w:p>
    <w:p>
      <w:r>
        <w:t>Pour la Commission, l'ingérence en cause visait « la protection de la réputation [et] des droits d'autrui ».</w:t>
      </w:r>
    </w:p>
    <w:p>
      <w:r>
        <w:rPr>
          <w:b/>
        </w:rPr>
        <w:t>E. 42</w:t>
      </w:r>
    </w:p>
    <w:p>
      <w:r>
        <w:t>La Cour observe que la loi fédérale contre la concurrence déloyale du 19 décembre 1986 « vise à garantir, dans l'intérêt de toutes les parties concernées, une concurrence loyale qui ne soit pas faussée » (article premier ; paragraphe 25 ci-dessus) et permet à celui qui, du fait d'un « acte de concurrence déloyale », subit ou est « menacé » de subir une « atteinte dans sa clientèle, son crédit ou sa réputation professionnelle, ses affaires ou ses intérêts économiques en général », de demander au juge d'interdire celle-ci (article 9 ; ibidem ). C'est en application de ces dispositions que les juridictions internes accueillirent la requête de l'Association suisse des fabricants et fournisseurs d'appareils électrodomestiques qui imputait à M. Hertel un acte de concurrence déloyale de nature à porter préjudice aux intérêts de ses membres. Il n'est donc pas douteux que la mesure en cause tendait à la « protection (...) des droits d'autrui ». C. « Nécessaire dans une société démocratique »</w:t>
      </w:r>
    </w:p>
    <w:p>
      <w:r>
        <w:rPr>
          <w:b/>
        </w:rPr>
        <w:t>E. 43</w:t>
      </w:r>
    </w:p>
    <w:p>
      <w:r>
        <w:t>M. Hertel voit dans l'interdiction qui le frappe une mesure disproportionnée. Elle aboutirait à une protection démesurée des intérêts économiques des membres de l'association plaignante au prix de la censure de ses travaux de recherche et de sa participation au débat scientifique relatif aux questions de santé publique que pose l'utilisation des fours à micro-ondes.</w:t>
      </w:r>
    </w:p>
    <w:p>
      <w:r>
        <w:rPr>
          <w:b/>
        </w:rPr>
        <w:t>E. 44</w:t>
      </w:r>
    </w:p>
    <w:p>
      <w:r>
        <w:t>Selon le Gouvernement, l'ingérence dans la liberté d'expression du requérant vise, dans l'intérêt de toute la société, à garantir une concurrence loyale et libre. Elle répondrait de ce fait à un besoin social impérieux. Les juridictions suisses n'auraient ordonné l'interdiction litigieuse qu'après avoir soigneusement mis en balance les intérêts en présence : d'une part, celui de l'Association suisse des fabricants et fournisseurs d'appareils électrodomestiques (« FAE ») ainsi que des consommateurs d'être protégés contre la propagation d'allégations fallacieuses relatives aux fours à micro-ondes, et, d'autre part, celui du requérant de diffuser les informations de son choix. L'article litigieux présenterait en effet le requérant comme un « expert » ; illustré de surcroît de l'image choquante de la mort, il affirmerait qu'il est scientifiquement prouvé que l'usage des fours à micro-ondes est dangereux pour la santé humaine. Eu égard au fait que le Journal Franz Weber s'adresserait non à des spécialistes mais à des lecteurs profanes et serait tiré à plus de cent mille exemplaires, un large public aurait ainsi pu être convaincu de l'existence d'une certitude en la matière. Or non seulement la question serait fortement controversée, mais en plus les recherches effectuées par le requérant manqueraient du sérieux nécessaire à leur qualification de « scientifiques ». Ces circonstances justifieraient l'ingérence litigieuse, par ailleurs modérée : M. Hertel resterait libre non seulement de poursuivre ses recherches dans le domaine des micro-ondes mais aussi d'en publier et diffuser les résultats dans des sphères non économiques telles que les milieux scientifiques ou académiques. Il y aurait lieu en outre de prendre en compte les propos choquants tenus par l'intéressé en 1989 et reproduits dans le numéro 8 du Journal Franz Weber , selon lesquels les fours à micro-ondes seraient « pires que les chambres à gaz de Dachau ». Vu enfin la marge d'appréciation dont disposeraient les Etats contractants dans le domaine de la concurrence déloyale, l'article 10 n'aurait pas été violé.</w:t>
      </w:r>
    </w:p>
    <w:p>
      <w:r>
        <w:rPr>
          <w:b/>
        </w:rPr>
        <w:t>E. 45</w:t>
      </w:r>
    </w:p>
    <w:p>
      <w:r>
        <w:t>La Commission parvient à la conclusion contraire.</w:t>
      </w:r>
    </w:p>
    <w:p>
      <w:r>
        <w:rPr>
          <w:b/>
        </w:rPr>
        <w:t>E. 46</w:t>
      </w:r>
    </w:p>
    <w:p>
      <w:r>
        <w:t>La Cour rappelle les principes fondamentaux qui se dégagent de sa jurisprudence, tels qu'elle les a dernièrement exposés dans les arrêts Zana c. Turquie et Grigoriades c. Grèce (arrêts du 25 novembre 1997, Recueil des arrêts et décisions 1997-VII, pp. 2547-2548, § 51, et p. 2589, § 44, respectivement)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(arrêts Handyside c. Royaume-Uni du 7 décembre 1976, série A n? 24, p. 23, § 49, Lingens c. Autriche du 8 juillet 1986, série A n? 103, p. 26, § 41, et Jersild c. Danemark du 23 septembre 1994, série A n? 298, p. 26, § 37).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(arrêt Sunday Times c. Royaume-Uni (n? 2) du 26 novembre 1991, série A n? 217, p. 29, § 50). Ce faisant, la Cour doit se convaincre que les autorités nationales ont appliqué des règles conformes aux principes consacrés à l'article 10 et ce, de surcroît, en se fondant sur une appréciation acceptable des faits pertinents (arrêt Jersild précité, p. 26, § 31).</w:t>
      </w:r>
    </w:p>
    <w:p>
      <w:r>
        <w:rPr>
          <w:b/>
        </w:rPr>
        <w:t>E. 47</w:t>
      </w:r>
    </w:p>
    <w:p>
      <w:r>
        <w:t>Les autorités suisses disposaient ainsi d'une certaine marge d'appréciation pour juger de l'existence d'un « besoin social impérieux » de faire au requérant l'interdiction dont il s'agit. Pareille marge d'appréciation est particulièrement indispensable en matière commerciale, spécialement dans un domaine aussi complexe et fluctuant que la concurrence déloyale (voir les arrêts markt intern Verlag GmbH et Klaus Beermann c. Allemagne du 20 novembre 1989, série A n° 165, p. 20, § 33, et Jacubowski c. Allemagne du 23 juin 1994, série A n° 291-A, p. 14, § 26). Il y a toutefois lieu de relativiser l'ampleur de celle-ci lorsqu'est en jeu non le discours strictement « commercial » de tel individu mais sa participation à un débat touchant à l'intérêt général, comme par exemple à la santé publique ; or en l'espèce on ne saurait nier l'existence d'un tel débat, portant sur les effets des micro-ondes sur la santé humaine (d'ailleurs seules étaient en cause les conclusions de la recherche effectuée par M. Hertel telles qu'exposées dans le numéro 19 du Journal Franz Weber et non l'objet desdites recherches). En cela, la présente espèce diffère substantiellement des affaires markt intern et Jacubowski précitées. La Cour entend en conséquence procéder à un examen attentif de la proportionnalité des mesures litigieuses au but poursuivi. A cet égard, il lui revient de faire la balance des exigences de la protection des droits des membres de la FAE avec la liberté d'expression de M. Hertel.</w:t>
      </w:r>
    </w:p>
    <w:p>
      <w:r>
        <w:rPr>
          <w:b/>
        </w:rPr>
        <w:t>E. 48</w:t>
      </w:r>
    </w:p>
    <w:p>
      <w:r>
        <w:t>La Cour observe que le requérant s'est borné à transmettre une copie de son rapport d'étude au Journal Franz Weber : il n'a participé ni à la rédaction du numéro 19 dudit périodique ni au choix de son illustration, et n'en a eu connaissance qu'après sa parution. Cela ressort de la déclaration de M. Weber du 14 avril 1992 (paragraphe 18 ci-dessus) et ne fut mis en cause ni par le tribunal de commerce du canton de Berne ni par le Tribunal fédéral : selon les deux juridictions, la responsabilité du requérant trouvait sa source dans le fait qu'en communiquant son rapport au Journal Franz Weber , il se serait accommodé d'une exploitation simpliste et outrancière de celui-ci - laquelle aurait été prévisible eu égard au périodique dont il s'agit - et que, par la suite, il aurait repris à son compte l'article litigieux (paragraphes 22-23 ci-dessus). Du texte dudit numéro 19 se rapportant aux fours à micro-ondes, le requérant n'est ainsi l'auteur ou le coauteur ni de l'intitulé de la page de couverture (paragraphe 10 ci-dessus), ni de l'éditorial (celui-ci est signé Franz Weber ; paragraphe 11 ci-dessus), ni des pages 3 à 10 (elles sont signées René d'Ombresson ; paragraphe 12 ci-dessus). Seules peuvent lui être attribuées, à l'exclusion des titres et sous-titres qui y figurent, les pages 5 à 10 qui contiennent un extrait du rapport dont il est question (paragraphe 13 ci-dessus). Or la Cour constate qu'il n'y est nulle part expressément proposé que les fours à micro-ondes fussent interdits, détruits ou boycottés et que le requérant n'y reprend pas les propos qu'il avait tenus en 1989 et qui avaient été publiés dans le numéro 8 (avril, mai et juin 1989) du Journal Franz Weber . En outre et surtout, la thèse du requérant relative aux effets nocifs sur la santé humaine de l'ingestion d'aliments préparés au four à micro-ondes y est exposée d'une manière bien plus nuancée que le Gouvernement ne le laisse entendre ; cela tient notamment à l'usage répété du mode conditionnel et au choix de formules non affirmatives. A cet égard, les dernières lignes dudit extrait, qui synthétisent les conclusions que le requérant tire de ses expériences, sont particulièrement parlantes : s'il est écrit que les résultats obtenus « montrent des altérations qui témoignent de troubles pathogènes », il est précisé quant à d'éventuels effets cancéreux que lesdits résultats donnent une image qui « pourrait » correspondre au début d'une évolution cancéreuse et qui « mérite attention » ; de la même manière il n'est pas affirmé que l'ingestion d'aliments irradiés est nocive pour l'homme du fait de l'induction d'un rayonnement indirect par le biais des aliments, mais suggéré qu'il « pourrait » en aller de la sorte (paragraphe 13 ci-dessus).</w:t>
      </w:r>
    </w:p>
    <w:p>
      <w:r>
        <w:rPr>
          <w:b/>
        </w:rPr>
        <w:t>E. 49</w:t>
      </w:r>
    </w:p>
    <w:p>
      <w:r>
        <w:t>Il n'en reste pas moins que la diffusion de tels propos pouvait avoir un effet négatif sur les ventes desdits fours en Suisse et il n'est pas inopportun de relever à cet égard que le Journal Franz Weber est publié à plus ou moins cent vingt mille exemplaires, ce qui n'est pas négligeable. Il y a lieu néanmoins de relever que ce périodique n'a pas une vocation généraliste puisqu'il traite surtout de questions touchant à l'environnement et à la santé publique et qu'il est très essentiellement distribué par abonnement ; il touche donc vraisemblablement un lectorat spécifique si bien que l'impact des idées qui y sont exposées mérite d'être relativisé. Tel fut d'ailleurs le point de vue du président du tribunal du district de Vevey (paragraphe 17 ci-dessus). La Cour note en outre qu'en l'espèce il n'est pas prétendu que la publication litigieuse ait eu une influence concrète sur le commerce des fours à micro-ondes et qu'elle ait causé un dommage effectif aux membres de la FAE. Faisant application de la LCD, le tribunal de commerce du canton de Berne et le Tribunal fédéral se sont en effet contentés du constat de la plausibilité d'une telle influence. Le premier en particulier s'est limité à la considération suivante (traduction de l'allemand ; paragraphe 22 ci-dessus) : « (...) Il y a (...) lieu, dans chaque cas, de vérifier si le comportement de l'intéressé influe sur les rapports entre concurrents ou entre fournisseurs et clients. (...) Même s'il n'y a pas de preuve certaine d'un rapport entre baisse du chiffre d'affaires concernant les fours à micro-ondes et comportement du [défendeur], il est manifeste que les allégations et publications incriminées en l'espèce sont de nature à réduire les ventes de fours à micro-ondes et à nuire, en conséquence, aux entreprises liées au demandeur. Il y a donc lieu de conclure à l'existence d'une aptitude objective à influer sur les rapports de concurrence. »</w:t>
      </w:r>
    </w:p>
    <w:p>
      <w:r>
        <w:rPr>
          <w:b/>
        </w:rPr>
        <w:t>E. 50</w:t>
      </w:r>
    </w:p>
    <w:p>
      <w:r>
        <w:t>Il ressort de ce qui précède que M. Hertel n'a pas participé au choix de l'illustration du numéro 19 du Journal Franz Weber , que les propos qui lui sont véritablement imputables sont plutôt nuancés et qu'aucun élément ne permet de conclure à un impact substantiel desdits propos sur les intérêts des membres de la FAE. En dépit de ceci, les juridictions suisses ont fait interdiction au requérant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en association avec les fours à micro-ondes. On ne peut que relever un décalage entre cette mesure et le comportement auquel elle se propose de répondre. Il en ressort une impression de déséquilibre que concrétise l'ampleur de l'interdiction dont il s'agit. A cet égard, s'il est vrai que celle-ci porte uniquement sur des affirmations bien précises, il n'en reste pas moins que lesdites affirmations ont trait à la substance même de la thèse défendue par le requérant. La mesure en cause a ainsi pour effet de censurer partiellement les travaux de ce dernier et de limiter grandement son aptitude à exposer publiquement une thèse qui a sa place dans un débat public dont l'existence ne peut être niée. Peu importe que l'opinion dont il s'agit est minoritaire et qu'elle peut sembler dénuée de fondement : dans un domaine où la certitude est improbable, il serait particulièrement excessif de limiter la liberté d'expression à l'exposé des seules idées généralement admises. La circonstance que les juridictions suisses ont expressément réservé la liberté de M. Hertel de poursuivre ses recherches n'enlève rien à ce constat. Quant à la possibilité dont il disposerait d'en présenter les résultats en dehors de la « sphère économique », elle ne transparaît pas avec évidence des décisions litigieuses ; le cas échéant, la large portée de la LCD empêcherait d'y voir une atténuation marquée de l'importance de l'ingérence dont il est question. Au surplus, en cas de non-respect de l'interdiction, le requérant encourt une sanction pouvant aller jusqu'à une privation de liberté. 51. Eu égard à ce qui précède la mesure litigieuse ne saurait passer pour « nécessaire » « dans une société démocratique ». Partant, il y a eu violation de l'article 10. ii. sur les violations alléguées des articles 6 § 1 et 8 de la convention 52. Le requérant soutient que la mesure qui le frappe l'empêche de communiquer à d'autres personnes le résultat de son travail scientifique et porte atteinte à sa « personnalité de scientifique » ; il voit là une violation de l'article 8. Il ajoute qu'en lui défendant d'associer symboles de la mort et fours à micro-ondes, les juridictions suisses lui interdisent un acte qu'il n'a pas commis - puisqu'il se serait borné à communiquer son rapport au Journal Franz Weber - et qu'il n'a pas l'intention de commettre ; il dénonce à ce titre une mesure « inéquitable » et une violation de l'article 6 § 1. 53. Le Gouvernement considère qu'aucune question ne se pose sur le terrain de l'article 8 et que le grief tiré de l'article 6 § 1 est sans fondement. 54. A l'instar de la Commission, eu égard au constat de violation de l'article 10 auquel elle parvient, la Cour estime qu'aucune question distincte ne se pose sous l'angle des articles 6 § 1 et 8. III. Sur l'application de l'article 50 de la Convention 55. Aux termes de l'article 50 de la Convention,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56. M. Hertel affirme que l'interdiction dont il fait l'objet a entraîné la fermeture de son laboratoire et lui a ainsi causé un dommage qu'il évalue à 20 000 francs suisses (CHF). 57. Le Gouvernement engage la Cour à ne pas donner suite à cette prétention. 58. Le délégué de la Commission ne se prononce pas. 59. La Cour n'aperçoit aucun lien de causalité entre le préjudice invoqué par l'intéressé et l'atteinte au droit de celui-ci à la liberté d'expression. Elle rejette donc la demande. B. Frais et dépens 60. Le requérant réclame 72 917 CHF pour ses frais et dépens devant les juridictions suisses et les organes de Strasbourg (soit 7 980 CHF à ce dernier titre). 61. Le Gouvernement soutient que, s'agissant des frais et dépens du requérant devant les juridictions suisses, seuls ceux relatifs à l'instance devant le Tribunal fédéral - soit 13 000 CHF - méritent remboursement puisqu'il s'agirait de l'unique recours engagé sur le plan national pour essayer de faire constater la violation alléguée et d'y remédier. Quant à ceux se rapportant à la procédure devant les organes de Strasbourg, ils seraient équitablement évalués à 8 000 CHF. Bref, le Gouvernement se déclare prêt à payer 21 000 CHF à l'intéressé. 62. Quant au délégué de la Commission, il ne prend pas position. 63. Lorsque la Cour constate une violation de la Convention, elle peut accorder au requérant le paiement non seulement de ses frais et dépens devant les organes de Strasbourg, mais aussi de ceux qu'il a engagés devant les juridictions nationales pour prévenir ou faire corriger par celles-ci ladite violation (voir notamment l'arrêt Zimmermann et Steiner c. Suisse du 13 juillet 1983, série A n° 66, p. 14, § 36). En l'espèce, eu égard à l'objet et à l'enjeu de l'instance devant le tribunal de commerce du canton de Berne, M. Hertel est habilité à demander le paiement des frais et dépens y relatifs en sus de ceux se rapportant aux procédures devant le Tribunal fédéral, la Commission et la Cour. Ceci étant, la Cour estime raisonnable d'allouer 40 000 CHF à l'intéressé. C. Intérêts moratoires 64. Selon les informations dont dispose la Cour,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