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w:t>
      </w:r>
    </w:p>
    <w:p>
      <w:r>
        <w:t>Bundesgericht (BGE), 1973-01-18, FR</w:t>
      </w:r>
    </w:p>
    <w:p>
      <w:r>
        <w:rPr>
          <w:b/>
        </w:rPr>
        <w:t xml:space="preserve">Quelle: </w:t>
      </w:r>
      <w:r>
        <w:t>https://mcp.opencaselaw.ch/entscheid/bge_BGE_99_V_9</w:t>
      </w:r>
    </w:p>
    <w:p>
      <w:r>
        <w:t>FR: ATF 99 V 9</w:t>
      </w:r>
    </w:p>
    <w:p>
      <w:r>
        <w:t>IT: DTF 99 V 9</w:t>
      </w:r>
    </w:p>
    <w:p>
      <w:pPr>
        <w:pStyle w:val="Heading2"/>
      </w:pPr>
      <w:r>
        <w:t>Regeste</w:t>
      </w:r>
    </w:p>
    <w:p>
      <w:r>
        <w:t>Regeste Ausschluss der aussergewöhnlichen Gefahren von der Versicherung (Art. 67 Abs. 3 KUVG). Begriff der Rauferei oder Schlägerei.</w:t>
      </w:r>
    </w:p>
    <w:p>
      <w:r>
        <w:t>Regeste Exclusion des dangers extraordinaires de l'assurance (art. 67al. 3 LAMA). Notion de rixe ou bagarre.</w:t>
      </w:r>
    </w:p>
    <w:p>
      <w:r>
        <w:t>Regesto Esclusione dei pericoli straordinari dall'assicurazione (art.67 cpv. 3 LAMI). Nozione di rissa o baruffa.</w:t>
      </w:r>
    </w:p>
    <w:p>
      <w:pPr>
        <w:pStyle w:val="Heading2"/>
      </w:pPr>
      <w:r>
        <w:t>Erwägungen</w:t>
      </w:r>
    </w:p>
    <w:p>
      <w:r>
        <w:rPr>
          <w:b/>
        </w:rPr>
        <w:t>E. 1</w:t>
      </w:r>
    </w:p>
    <w:p>
      <w:r>
        <w:t>Aux termes de l'art. 67 al. 3 LAMA, la Caisse nationale peut exclure de l'assurance des risques non professionnels les dangers extraordinaires et les entreprises téméraires. En application de cette disposition de la loi, le Conseil d'administration de la Caisse a pris le 31 octobre 1967 une décision qui exclut de l'assurance différents dangers dits extraordinaires, entre autres la participation à des rixes et bagarres entre deux personnes ou plus, à moins qu'il ne soit établi que l'assuré, sans avoir au BGE 99 V 9 S. 11 préalable joué un rôle dans le différend, a été lui-même attaqué par les participants ou blessé en portant secours à autrui (décision, chiffre I/1). Selon la jurisprudence du Tribunal fédéral des assurances, participe déjà à une rixe ou à une bagarre l'assuré qui reçoit des coups parce qu'il s'est engagé dans un échange de propos impliquant le danger qu'on en vienne aux voies de fait (v. les arrêts cités par MAURER, p. 155, ch. 4, et ATFA 1963, p. 238 et 1964, p. 71; arrêts Emery, du 11 mai 1964, et Annecken, du 27 novembre 1970, non publiés). La notion de rixe au sens de la décision du 31 octobre 1967 diffère de celle de l'art. 133 CP. Le juge des assurances n'est pas lié par l'appréciation et la décision dujuge pénal. L'exclusion de l'assurance a pour but d'épargner à la communauté des assurés les frais inhérents à la couverture d'un risque jugé indésirable. Elle n'est pas subordonnée à une faute de l'assuré mais elle n'en suppose pas moins qu'il se soit rendu compte ou qu'il ait dû se rendre compte de l'existence d'une rixe ou d'un danger de rixe (ATFA 1954, p. 5; arrêt Annecken précité).</w:t>
      </w:r>
    </w:p>
    <w:p>
      <w:r>
        <w:rPr>
          <w:b/>
        </w:rPr>
        <w:t>E. 2</w:t>
      </w:r>
    </w:p>
    <w:p>
      <w:r>
        <w:t>En l'occurrence, le recourant Jaccard s'est incontestablement engagé avec V. dans un échange de propos qui a été suivi d'actes de violence de la part de V. Mais on ne saurait affirmer que Jaccard ait prévu ou dû prévoir cette issue brutale. En effet, l'invitation que V. a faite au recourant de ne pas se mêler de ce qui ne le regardait pas, pour être incivile, n'était point inquiétante. V. n'était apparemment pas pris de boisson. La réponse du recourant, aussi sèche que l'intervention de V., était bien celle qu'on pouvait attendre d'un homme pris subitement à partie par quelqu'un auquel il ne s'adressait pas. Si, après cela, V. s'était fait menaçant et que le recourant eût insisté, ce dernier se serait bien exposé au danger extraordinaire exclu par le chiffre I/1 de la décision. Mais les choses ne se sont pas passées ainsi: V. a attaqué le recourant avant que le ton de la conversation eût monté davantage et sans avoir fait comprendre de toute autre manière à son interlocuteur son intention de le battre. Dans ces circonstances, le recourant a été attaqué à l'improviste; il n'a pas participé à une rixe ou à une bagarre et l'intimée doit prendre l'accident en charge. On ne peut même pas dire que le recourant, en agissant comme il l'a fait avant l'agression, ait commis une faute grave, qui justifierait une réduction des prestations conformément à l'art. 98 al. 3 LAMA... BGE 99 V 9 S. 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