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81</w:t>
      </w:r>
    </w:p>
    <w:p>
      <w:r>
        <w:t>Bundesgericht (BGE), 1973-09-26, FR</w:t>
      </w:r>
    </w:p>
    <w:p>
      <w:r>
        <w:rPr>
          <w:b/>
        </w:rPr>
        <w:t xml:space="preserve">Quelle: </w:t>
      </w:r>
      <w:r>
        <w:t>https://mcp.opencaselaw.ch/entscheid/bge_BGE_99_V_81</w:t>
      </w:r>
    </w:p>
    <w:p>
      <w:r>
        <w:t>FR: ATF 99 V 81</w:t>
      </w:r>
    </w:p>
    <w:p>
      <w:r>
        <w:t>IT: DTF 99 V 81</w:t>
      </w:r>
    </w:p>
    <w:p>
      <w:pPr>
        <w:pStyle w:val="Heading2"/>
      </w:pPr>
      <w:r>
        <w:t>Regeste</w:t>
      </w:r>
    </w:p>
    <w:p>
      <w:r>
        <w:t>Regeste Beim Geschäftsverkauf realisierter "Goodwill" gehört zu dem für die Beitragspflicht des Verkäufers massgebenden Einkommen (Art. 9 AHVG), gilt aber nicht als im Betrieb investiertes Eigenkapital (Art. 18 AHVV) des Käufers.</w:t>
      </w:r>
    </w:p>
    <w:p>
      <w:r>
        <w:t>Regeste Le "goodwill" réalisé par le vendeur d'une exploitation constitue un élément de revenu soumis à cotisations (art. 9 LAVS), mais n'est pas considéré comme capital propre investi dans l'exploitation (art. 18 RAVS) de l'acquéreur.</w:t>
      </w:r>
    </w:p>
    <w:p>
      <w:r>
        <w:t>Regesto Il valore d'avviamento realizzato dal venditore di un'azienda costituisce reddito imponibile giusta l'art. 9 LAVS, ma non è considerato capitale proprio investito nell'azienda (art. 18 OAVS) dal compratore.</w:t>
      </w:r>
    </w:p>
    <w:p>
      <w:pPr>
        <w:pStyle w:val="Heading2"/>
      </w:pPr>
      <w:r>
        <w:t>Erwägungen</w:t>
      </w:r>
    </w:p>
    <w:p>
      <w:r>
        <w:rPr>
          <w:b/>
        </w:rPr>
        <w:t>E. 1</w:t>
      </w:r>
    </w:p>
    <w:p>
      <w:r>
        <w:t>Pour évaluer une entreprise, il ne suffit pas d'additionner la valeur des biens matériels (marchandises, machines, espèces, créances, etc.) qui lui appartiennent. Il faut aussi, très souvent, tenir compte de biens immatériels, tels que raison de commerce, réputation, clientèle, relations d'affaires, fournisseurs, méthodes de travail. Il faut peut-être aussi prendre en considération le fait même d'exister, d'être organisé et de fonctionner depuis un certain temps. Ces biens immatériels, qu'on désigne communément du terme anglais de "goodwill", résultent de l'activité lucrative du chef d'entreprise, à l'instar de l'accroissement de la valeur des biens matériels. Ils sont réalisables lors de la vente de l'entreprise; il s'agit alors de savoir s'ils constituent un revenu sur lequel sont dues les cotisations AVS/AI/APG, c'est-à-dire s'ils font partie du revenu provenant de l'exercice d'une activité dépendante ou indépendante (art. 4 LAVS), et si, s'agissant de l'acquéreur, ils représentent des éléments du capital propre engagé dans l'exploitation dont l'intérêt peut être déduit du revenu de l'activité indépendante (art. 9 al. 2 lit. e LAVS). Le Tribunal fédéral des assurances a estimé que le prix d'un "goodwill" payable par acomptes après remise d'un commerce est soumis à cotisations personnelles, lesquelles sont exigibles en une fois sur la valeur totale du "goodwill", sans aucune déduction (RO 96 V 58). En revanche, il a constaté il y a longtemps déjà que, le capital propre investi dans l'entreprise devant être évalué d'après les normes de la législation en matière d'impôt pour la défense nationale (art. 18 al. 2 RAVS), le "goodwill" ne constitue pas un élément de ce capital: en matière d'impôt pour la défense nationale en effet, le "goodwill" n'est pas compté dans la fortune (ATFA 1951 p. 246; jurisprudence confirmée dans les arrêts non publiés Salzmann du 30 avril 1963 et Simonetti du 25 février 1966), à la différence d'autres biens immatériels tels que les brevets d'invention par exemple (RCC 1959 p. 300).</w:t>
      </w:r>
    </w:p>
    <w:p>
      <w:r>
        <w:rPr>
          <w:b/>
        </w:rPr>
        <w:t>E. 2</w:t>
      </w:r>
    </w:p>
    <w:p>
      <w:r>
        <w:t>La question qui se pose est dès lors de savoir s'il faut continuer à considérer que le "goodwill" représente un élément du revenu soumis à cotisations, s'agissant du vendeur d'une BGE 99 V 81 S. 84 entreprise, mais que le prix payé par l'acquéreur ne peut être retenu pour déterminer le capital propre investi dans l'exploitation, d'une part, et, d'autre part, s'il faut toujours traiter différemment, du point de vue des cotisations AVS/AI/APG, certains biens immatériels composant l'actif d'une entreprise acquise à titre onéreux. Les solutions rappelées ci-dessus ne sont certes pas très satisfaisantes, sur le plan de la logique, à première vue du moins. La Courde céans ne voit cependant aucun motif de s'en écarter, s'agissant en tout cas de celle qui concerne le capital propre investi dans l'entreprise. Car cette dernière découle de règles légales claires qu'il n'appartient pas au juge de corriger. La norme de l'art. 18 al. 2 RAVS prescrivant l'évaluation du capital propre engagé dans l'exploitation suivant les dispositions de la législation fédérale sur l'impôt pour la défense nationale n'est guère criticable, au regard de l'art. 9 al. 2 lit. e LAVS: le Conseil fédéral n'a certes pas outrepassé les limites de sa compétence en édictant l'art. 18 al. 2 RAVS dans sa teneur actuelle (cf. RCC 1958 p. 350 consid. 4). Force est dès lors de s'en tenir, pour l'évaluation du capital propre investi dans l'entreprise, aux règles valables en matière d'impôt pour la défense nationale, avec les avantages et les inconvénients qu'elles présentent. Au demeurant, la jurisprudence rappelée ci-dessus a le mérite d'éviter une inégalité de traitement entre le commerçant qui constitue un "goodwill" originaire dans sa propre affaire ("goodwill" latent), lequel n'est pas un actif devant figurer au bilan, selon la doctrine actuelle du droit fiscal (KÄNZIG, "Die Eidgenössische Wehrsteuer", 1962, 4e vol., p. 354 No 75; MASSHARDT, "Kommentar zur eidgenössischen Wehrsteuer 1971-1982", p. 141 No. 22, p. 161 No 4), d'une part, et, d'autre part, le commerçant qui, reprenant une affaire, acquiert le "goodwill" à titre onéreux. Elle consacre une solution plus simple et plus juste que celle consistant à prendre en considération le "goodwill" dans tous les cas, qu'il ait été payé ou qu'il soit latent: s'agissant de l'estimation du "goodwill" originaire, on se heurterait à des difficultés d'application telles qu'on en arriverait sans doute à des évaluations souvent arbitraires. L'estimation de la fortune commerciale suivant les normes valables en matière d'impôt pour la défense nationale est en outre apte à garantir une uniformité dans la communication, par BGE 99 V 81 S. 85 les différentes autorités fiscales cantonales, du capital propre engagé dans l'entreprise. Comme le relève l'Office fédéral des assurances sociales dans son préavis, ce serait du reste pour ce motifque l'art. 18 al. 2 RAVS n'a pas été modifié, même après la suppression de l'impôt fédéral complémentaire sur la fortune. Enfin, la possibilité d'amortir le "goodwill" acquis à titre onéreux, admis par la pratique fiscale (cf. aussi RCC 1952 p. 359), constitue bien un certain correctif au système consacré par la loi et la jurisprudence. Que l'assuré n'ait jusqu'ici peutêtre pas encore procédé à un tel amortissement ne change rien à l'affaire, cette possibilité lui restant réservée pour l'avenir. Dans ces conditions, force est de constater aussi que la différence de traitement du "goodwill", d'une part, et d'autres biens immatériels, d'autre part, a une justification.</w:t>
      </w:r>
    </w:p>
    <w:p>
      <w:r>
        <w:rPr>
          <w:b/>
        </w:rPr>
        <w:t>E. 3</w:t>
      </w:r>
    </w:p>
    <w:p>
      <w:r>
        <w:t>Vu ce qui précède, les arguments du recourant n'exigent pas un revirement de la jurisprudence, encore que, "de lege ferenda", un réexamen du problème ne soit pas exclu, si les efforts entrepris pour harmoniser les droits fiscaux cantonaux devaient aboutir (cf. RCC 1972 p. 297) et si l'on en venait à compter généralement le "goodwill" dans la fortune imposable. Le recours doit donc être rejeté, puisqu'on est bien en présence d'un "goodwill" nettement déterminé (arrêts non publiés Muller du 9 octobre 1959 et Salzmann précité), ainsi que le fait remarquer l'autorité fédérale de surveillance dans son mémoire au tribunal de céans.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