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34 vom 1. Januar 1973</w:t>
      </w:r>
    </w:p>
    <w:p>
      <w:r>
        <w:t>Bundesgericht (BGE), 1973-01-01, FR</w:t>
      </w:r>
    </w:p>
    <w:p>
      <w:r>
        <w:rPr>
          <w:b/>
        </w:rPr>
        <w:t xml:space="preserve">Quelle: </w:t>
      </w:r>
      <w:r>
        <w:t>https://mcp.opencaselaw.ch/entscheid/bge_BGE_99_Ib_34</w:t>
      </w:r>
    </w:p>
    <w:p>
      <w:r>
        <w:t>FR: BGE BGE 99 Ib 34 du 1 janvier 1973</w:t>
      </w:r>
    </w:p>
    <w:p>
      <w:r>
        <w:t>IT: BGE BGE 99 Ib 34 del 1 gennaio 1973</w:t>
      </w:r>
    </w:p>
    <w:p>
      <w:pPr>
        <w:pStyle w:val="Heading2"/>
      </w:pPr>
      <w:r>
        <w:t>Regeste</w:t>
      </w:r>
    </w:p>
    <w:p>
      <w:r>
        <w:t>Regeste Territoriale Bezeichnung im Namen eines Vereins; Art. 944 Abs. 1 und 2 OR, 45, 46 und 47 HRegV. Voraussetzungen der Bewilligung (Erw. 2 a). Verweigerung der Bewilligung wegen Verwechslungsgefahr (Erw. 2 b-c und 3).</w:t>
      </w:r>
    </w:p>
    <w:p>
      <w:r>
        <w:t>Regeste Désignation territoriale dans le nom d'une association; art. 944 al. 1 et 2 CO, 45, 46 et 47 ORC. Conditions de l'autorisation (consid. 2 a). Refus de l'autorisation en raison d'un risque de confusion (consid. 2 b-c et 3).</w:t>
      </w:r>
    </w:p>
    <w:p>
      <w:r>
        <w:t>Regesto Designazione territoriale nel nome di un'associazione; art. 944 cpv. 1 e 2 CO, 45, 46 e 47 ORC. Presupposti dell'autorizzazione (consid. 2 a). Diniego dell'autorizzazione per l'esistenza di un rischio di confusione (consid. 2 b-c e 3).</w:t>
      </w:r>
    </w:p>
    <w:p>
      <w:pPr>
        <w:pStyle w:val="Heading2"/>
      </w:pPr>
      <w:r>
        <w:t>Erwägungen</w:t>
      </w:r>
    </w:p>
    <w:p>
      <w:r>
        <w:rPr>
          <w:b/>
        </w:rPr>
        <w:t>E. 1</w:t>
      </w:r>
    </w:p>
    <w:p>
      <w:r>
        <w:t>Selon les art. 45 et 46 ORC, l'inscription au registre du commerce d'une raison sociale comportant une adjonction territoriale ou régionale est subordonnée à l'autorisation de l'Office fédéral du registre du commerce. Cette règle s'applique aussi à l'inscription des associations qui ne poursuivent pas exclusivement un but non économique, en particulier les groupements professionnels constitués en association (art. 47 ORC). Peu BGE 99 Ib 34 S. 37 importe à cet égard que, selon la jurisprudence et la doctrine, ces associations ne soient pas soumises au droit des raisons de commerce et ne bénéficient pas de la protection de l'art. 956 CO (RO 83 II 254 s. consid. 2 et citations, 90 II 464; HIS, n. 32 ad art. 944 et n. 3 ad art. 956 CO; GUHL/MERZ/KUMMER, Das schweizerische Obligationenrecht, p. 735).</w:t>
      </w:r>
    </w:p>
    <w:p>
      <w:r>
        <w:rPr>
          <w:b/>
        </w:rPr>
        <w:t>E. 2</w:t>
      </w:r>
    </w:p>
    <w:p>
      <w:r>
        <w:t>a) Selon la jurisprudence récente, l'art. 45 al. 1 ORC tend à prévenir des abus; la désignation nationale ou territoriale ne doit pas être trompeuse et ne doit pas être motivée seulement par le souci de la réclame ou le désir d'obtenir un avantage sur la concurrence; mais l'autorisation ne peut pas être refusée si le requérant justifie d'un intérêt digne de protection, notamment lorsque la désignation nationale ou territoriale est un moyen d'individualiser l'entreprise en mettant en évidence un élément géographique qui la distingue objectivement des autres; il n'est pas nécessaire que l'entreprise requérante bénéficie dans son domaine d'une position de monopole (RO 92 I 297, 298 ss., 305, 94 I 560 s., 96 I 611 s., 98 I b 299 s.). Jusqu'à la constitution de la CIF, rien ne se serait opposé selon cette jurisprudence à l'inscription au registre du commerce de la recourante sous le nom de "Chambre fribourgeoise immobilière": elle déploie son activité uniquement dans le canton de Fribourg, et elle était jusqu'alors la seule organisation de ce genre dans le canton. b) Depuis le 5 septembre 1972, il existe une "Chambre immobilière fribourgeoise". L'autorisation d'utiliser cette désignation en vue de son inscription au registre du commerce lui a certes été refusée le 14 novembre 1972; mais elle peut continuer à porter ce nom tant qu'elle ne fait pas l'objet d'une interdiction judiciaire. Quant à la recourante, elle a décidé le 6 septembre 1972 de substituer à son nom d'"Association fribourgeoise des intérêts immobiliers" celui de "Chambre fribourgeoise immobilière". S'agissant du changement du nom d'une association qui n'était pas inscrite au registre du commerce, une autorisation de l'Office fédéral du registre du commerce n'était pas nécessaire. On se trouve ainsi en présence de deux "Chambres immobilières", qui toutes deux portent la désignation "fribourgeoise" et ont pour but essentiel la défense des intérêts des propriétaires immobiliers dans le canton de Fribourg. Ces deux associations désirent se faire inscrire au registre du commerce. A l'évidence, leurs noms, qui ne se distinguent que par la place du mot "fribourgeoise", prêtent à confusion. L'acte de recours luimême BGE 99 Ib 34 S. 38 en fait la démonstration: à plusieurs reprises, son rédacteur a dû corriger après coup le nom des deux associations concurrentes, l'ordre des mots "fribourgeoise" et "immobilière" étant erroné. c) Selon l'art. 944 al. 1 CO, une raison de commerce ne peut contenir des indications qui puissent induire en erreur. Cette règle s'applique aussi au nom des associations inscrites au registre du commerce. Saisi par les deux associations concurrentes de demandes d'autorisation d'employer la désignation territoriale "fribourgeoise", l'office intimé ne pouvait satisfaire aux deux requêtes. Cette double autorisation aurait contrevenu à l'art. 944 al. 1 CO, puisqu'elle aurait entraîné le risque d'induire le public en erreur. Elle se serait en outre trouvée en contradiction avec le refus que le préposé au Registre du commerce de Fribourg aurait dû opposer, en vertu des art. 940, 944 al. 1 et 955 CO, à l'inscription de deux associations portant le nom "Chambre immobilière" et l'adjonction "fribourgeoise". L'office ne pouvait pas non plus accorder l'autorisation à l'une des deux associations concurrentes, tout en la refusant à l'autre: il se serait alors rendu coupable d'une part d'inégalité de traitement, d'autre part d'avoir préjugé un litige relevant des tribunaux civils. L'Office fédéral du registre du commerce n'a donc pas violé le droit fédéral en refusant à la recourante l'autorisation de se faire inscrire au registre du commerce sous le nom de "Chambre fribourgeoise immobilière".</w:t>
      </w:r>
    </w:p>
    <w:p>
      <w:r>
        <w:rPr>
          <w:b/>
        </w:rPr>
        <w:t>E. 3</w:t>
      </w:r>
    </w:p>
    <w:p>
      <w:r>
        <w:t>Les arguments que la recourante fait valoir à l'encontre de cette décision sont mal fondés. Le fait qu'elle est la seule à avoir déposé une réquisition d'inscription au registre du commerce est sans pertinence. Ce qui importe est que la CIF a également demandé à l'Office fédéral du registre du commerce l'autorisation d'employer la désignation "fribourgeoise", cet office se trouvant ainsi saisi de deux requêtes incompatibles au regard de l'art. 944 al. 1 CO. Au demeurant, la recourante ne saurait revendiquer la protection de l'art. 956 CO parce qu'elle a requis son inscription auprès du préposé au Registre du commerce de Fribourg: l'art. 956 ne protège que les titulaires de raisons inscrites sur le registre et publiées dans la Feuille officielle suisse du commerce, et qui jouissent de la protection des raisons de commerce; tel n'est pas le cas, on l'a vu, des associations (consid. 1 ci-dessus). BGE 99 Ib 34 S. 39 La recourante allègue en vain qu'elle porte depuis 1941 dans son nom la désignation "fribourgeoise", qui n'a jamais suscité d'opposition, et qu'elle a entretenu avec les autorités cantonale et communale des relations régulières. Une association est libre de faire figurer dans son nom une désignation nationale, territoriale ou régionale, tant qu'elle ne se fait pas volontairement inscrire au registre du commerce (art. 60 al. 1 CC) ou qu'elle n'est pas tenue de le faire (art. 60 al. 2 CC). Cette liberté n'est limitée que par les dispositions du code civil sur le droit au nom et par d'éventuelles prescriptions de droit public. L'autorité n'avait donc pas de raison de s'opposer à la désignation "fribourgeoise" employée par la recourante, qui n'est pas inscrite au registre du commerce. Quant aux relations entre celle-ci et les autorités cantonale et communale, elles s'expliquent tout naturellement, puisque jusqu'à la constitution de la CIF la recourante était la seule association représentative des milieux immobiliers et de propriétaires dans le canton de Fribourg.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