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255 vom 1. Januar 1973</w:t>
      </w:r>
    </w:p>
    <w:p>
      <w:r>
        <w:t>Bundesgericht (BGE), 1973-01-01, DE</w:t>
      </w:r>
    </w:p>
    <w:p>
      <w:r>
        <w:rPr>
          <w:b/>
        </w:rPr>
        <w:t xml:space="preserve">Quelle: </w:t>
      </w:r>
      <w:r>
        <w:t>https://mcp.opencaselaw.ch/entscheid/bge_BGE_99_Ib_255</w:t>
      </w:r>
    </w:p>
    <w:p>
      <w:r>
        <w:t>FR: BGE BGE 99 Ib 255 du 1 janvier 1973</w:t>
      </w:r>
    </w:p>
    <w:p>
      <w:r>
        <w:t>IT: BGE BGE 99 Ib 255 del 1 gennaio 1973</w:t>
      </w:r>
    </w:p>
    <w:p>
      <w:pPr>
        <w:pStyle w:val="Heading2"/>
      </w:pPr>
      <w:r>
        <w:t>Regeste</w:t>
      </w:r>
    </w:p>
    <w:p>
      <w:r>
        <w:t>Regeste Stiftungsaufsicht 1. Umfang der Stiftungsaufsicht nach Art. 84 Abs. 2 ZGB; Abgrenzung gegenüber den Kompetenzen der Steuerbehörden (Erw. 3). 2. Befugnis der Aufsichtsbehörde, unmittelbar gestützt auf Art. 84 Abs. 2 ZGB einzugreifen (Erw. 4). 3. Übertragung einer Summe von einer Rechnung der Stiftung auf eine andere Rechnung derselben Stiftung; Verwendung des Betrages für Abschreibungen auf einer der Stiftung gehörenden Liegenschaft, die zu reduzierten Mietzinsen an Arbeitnehmer der Stifterfirma und Dritte vermietet wird. Voraussetzungen für die Zulässigkeit dieser Operation (Erw. 5).</w:t>
      </w:r>
    </w:p>
    <w:p>
      <w:r>
        <w:t>Regeste Surveillance des fondations. 1. Etendue de cette surveillance en vertu de l'art. 84 al. 2 CC; délimitation des compétences de l'autorité de surveillance et de l'autorité fiscale (consid. 3). 2. L'autorité de surveillance peut donner des instructions impératives en se fondant directement sur l'art. 84 al. 2 CC (consid. 4). 3. Transfert d'un montant d'un compte de la fondation sur un autre compte de la même fondation; affectation de ce montant à l'amortissement de la valeur d'un immeuble de la fondation, loué, moyennant un loyer réduit, aux travailleurs de l'entreprise fondatrice et àdes tiers. Conditions auxquelles cette opération peut être admise (consid. 5).</w:t>
      </w:r>
    </w:p>
    <w:p>
      <w:r>
        <w:t>Regesto Vigilanza sulle fondazioni. 1. Estensione della vigilanza sulle fondazioni secondo l'art. 84 cpv. 2 CC; delimitazione delle competenze dell'autorità di vigilanza e dell'autorità fiscale (consid. 3). 2. Potere d'intervento dell'autorità di vigilanza, fondato direttamente sull'art. 84 cpv. 2 CC (consid. 4). 3. Trasferimento di una somma da uno ad altro conto della fondazione; impiego di tale somma per l'ammortamento del valore di un immobile della fondazione, locato, contro un canone ridotto, ai lavoratori dell'impresa fondatrice e a terzi. Condizioni alle quali detta operazione può essere ammessa (consid. 5).</w:t>
      </w:r>
    </w:p>
    <w:p>
      <w:pPr>
        <w:pStyle w:val="Heading2"/>
      </w:pPr>
      <w:r>
        <w:t>Erwägungen</w:t>
      </w:r>
    </w:p>
    <w:p>
      <w:r>
        <w:rPr>
          <w:b/>
        </w:rPr>
        <w:t>E. 3</w:t>
      </w:r>
    </w:p>
    <w:p>
      <w:r>
        <w:t>Nach Art. 84 Abs. 2 ZGB hat die Aufsichtsbehörde dafür BGE 99 Ib 255 S. 259 zu sorgen, dass das Stiftungsvermögen seinen - vom Stifter grundsätzlich frei bestimmbaren ( BGE 70 I 216 ) - Zwecken gemäss verwendet wird. Dies schliesst die Befugnis ein, darüber zu wachen, dass das Stiftungsvermögen, nach Massgabe der Stiftungsurkunde, erhalten bleibt ( BGE 70 I 214 ). Die Aufsichtsbehörde ist deshalb auch befugt, die Anlage des Stiftungsvermögens zu überwachen und den Organen der Stiftung in dieser Hinsicht Weisungen zu erteilen (vgl. BÜRGI, Komm. zum alten Art. 673 OR N. 113), denn rein spekulative oder allzu risikoreiche Anlagen gefährden das Stiftungsvermögen und damit die Verfolgung des Stiftungszweckes. Die Aufsichtsbehörde hat ausserdem dafür zu sorgen, dass die Stiftung ihre Mittel nicht zu anderen als den in der Stiftungsurkunde bezeichneten Zwecken verwendet. Dabei hat sie die Destinatäre der Stiftung auch vor willkürlichen Entscheidungen des Stiftungsrates in Angelegenheiten zu schützen, in denen diese keinen eigentlichen Rechtsanspruch gegenüber der Stiftung besitzen (vgl. unveröffentlichtes Urteil vom 17. März 1971 i.S. Argast Erw. 3). Nicht in den Aufgabenbereich der Aufsichtsbehörde gehört es hingegen, darüber zu wachen, dass die Stiftung durch ihre Tätigkeit keine steuerlichen Nachteile erleidet, es sei denn, die Stiftungsurkunde würde der Stiftungstätigkeit in diesem Sinne eine Grenze setzen. Ob die Stiftung oder Zuwendungen der Stifterfirma an sie Steuerfreiheit geniessen, ist ausschliesslich von den Steuerbehörden zu entscheiden. Wird die Stiftung im Rahmen der Verfolgung des Stiftungszweckes in einer Weise tätig, die zum Verlust der Steuerfreiheit führen kann, so darf die Aufsichtsbehörde deshalb höchstens die Steuerbehörden, sofern das geltende Recht ihr das erlaubt, über den Sachverhalt in Kenntnis setzen. Ein direkter Eingriff aus diesem einzigen Grund ist ihr jedoch versagt.</w:t>
      </w:r>
    </w:p>
    <w:p>
      <w:r>
        <w:rPr>
          <w:b/>
        </w:rPr>
        <w:t>E. 4</w:t>
      </w:r>
    </w:p>
    <w:p>
      <w:r>
        <w:t>Stellt die Aufsichtsbehörde fest, dass sich eine bestimmte Handlung der Stiftungsorgane mit dem Stiftungszweck nicht verträgt, so kann sie, unmittelbar gestützt auf Art. 84 ZGB , die Stiftung zur Vornahme der notwendigen Korrektur zwingen. Dies ergibt sich schon aus dem Wortlaut von Art. 84 Abs. 2 ZGB . Die Bestimmung wäre weitgehend zwecklos, würde sie nicht diese Kompetenz der Aufsichtsbehörde begründen. Die Aufsichtsbehörde kann ihren Entscheid auf Grund einer kantonalrechtlichen Spezialvorschrift oder mangels einer solchen in Anwendung von Art. 292 StGB mit einer Strafandrohung verbinden. BGE 99 Ib 255 S. 260 Vorbehalten bleibt allerdings der hier nicht zutreffende Fall, in dem einem gutgläubigen Dritten aus einer dem Stiftungszweck zuwiderlaufenden Handlung der Stiftungsorgane ein wohlerworbenes Recht erwächst. Die hier angefochtene Verfügung war somit an sich möglich. Da keine Verfahrensfehler ersichtlich sind, ist einzig zu prüfen, ob sie materiell begründet ist.</w:t>
      </w:r>
    </w:p>
    <w:p>
      <w:r>
        <w:rPr>
          <w:b/>
        </w:rPr>
        <w:t>E. 5</w:t>
      </w:r>
    </w:p>
    <w:p>
      <w:r>
        <w:t>Die angefochtene Verfügung richtet sich gegen die Übertragung von Fr. 136 000.-- aus dem Fürsorgefonds an die Kranken- und Fürsorgekasse und die Einsetzung dieses Betrages für Abschreibungen auf der Liegenschaft Hochfelden. Die Stiftung bildet rechtlich eine Einheit. Die in Frage stehende Übertragung von einer Rechnung der Stiftung auf eine andere Rechnung derselben Stiftung kann deshalb nicht als Entfremdung von Stiftungsmitteln qualifiziert werden. Zwar bedeutet die Übertragung im vorliegenden Falle zugleich eine Änderung der Zweckbestimmung des fraglichen Betrages. Die Aufsichtsbehörde selbst war aber im Jahre 1946 offenbar der Auffassung, der Zweck der Kranken- und Fürsorgekasse sei durch die Stiftungsurkunde gedeckt, hat sie doch damals die Schaffung der Kranken- und Fürsorgekasse mit einem aus dem Fürsorgefonds stammenden Gründungskapital von Fr. 200 000 gutgeheissen. Auch in der Einsetzung der Fr. 136 000.-- für Abschreibungen auf der der Stiftung gehörenden Liegenschaft Hochfelden liegt keine Entfremdung von Stiftungsmitteln. Es kann darin auch keine Zuwendung an Destinatäre der Stiftung oder Dritte gesehen werden. Diese beiden buchhalterischen Operationen halten vor Art. 84 ZGB stand. Hingegen fragt sich, ob die Mietzinse in der Liegenschaft Hochfelden nicht dank der zulasten der Kranken- und Fürsorgekasse vorgenommenen Abschreibung von Fr. 136 000.--herabgesetzt werden konnten und ob gegebenenfalls in solchen Mietzinsreduktionen nicht zweckwidrige Zuwendungen der Stiftung an ihre Destinatäre oder Dritte zu erblicken sind. Zu dieser doppelten Frage wird im angefochtenen Entscheid nichts ausgeführt. Hingegen nimmt die kantonale Direktion des Innern in ihrer Vernehmlassung kurz dazu Stellung. Sie macht geltend, die fraglichen Fr. 136 000.-- seien von den Anlagekosten der Bauten in Abzug gebracht worden. So habe trotz niedrigen Mietzinsen eine Rendite auf dem Eigenkapital von rund 6% BGE 99 Ib 255 S. 261 ausgewiesen werden können. Ohne diese Operation hätte sich bloss eine Rendite von 4% ergeben. Begünstigt seien nicht die Destinatäre der Stiftung, sondern die Mieter der Liegenschaft, das heisse im wesentlichen die Stifterfirma. a) Ob die Nettorendite in Wirklichkeit bei lediglich 4% liegt, ist für sich allein nicht entscheidend. Das Stiftungsvermögen muss, wie bereits gesehen, in relativ sicheren Werten angelegt werden. Dies bedingt einen Verzicht auf hohe Renditen. Der Entscheid über die Anlage des Stiftungsvermögens steht grundsätzlich den Stiftungsorganen zu. Die Aufsichtsbehörde kann dabei - abgesehen von der Überwachung der Qualität einer Anlage - im wesentlichen nur eingreifen, wenn eine Anlage wegen unzulässiger Begünstigung bestimmter Personen eine aussergewöhnlich tiefe Rendite erbringt. Ob die Nettorendite im vorliegenden Falle wirklich bei nur 4% liegt, ist deshalb nur von Bedeutung, falls sich daraus ergibt, dass die Mietzinse in der fraglichen Liegenschaft aussergewöhnlich tief angesetzt wurden, um Mieter, die nicht Destinatäre der Stiftung sind, zu begünstigen. b) Die Beschwerdeführerin hat über die Nettorendite der Liegenschaft Hochfelden verschiedene voneinander abweichende Berechnungen angestellt. In der Jahresrechnung 1968 hat sie den Betrag von Fr. 136 000.-- von den Anlagekosten abgezogen und somit nicht in ihr Eigenkapital eingeschlossen. Nach Zuweisung von Fr. 12 000.-- an einen Erneuerungsfonds für Liegenschaften ergab sich damit eine Nettorendite von 6,05%. In der Rekursschrift an den Regierungsrat schlägt sie die Fr. 136 000.-- zu den investierten eigenen Mitteln, sieht aber keine Zuweisung an den Erneuerungsfonds mehr vor, womit sich die Nettorendite auf 6'856% stellt. In ihrem Brief an das Bundesgericht vom 3. Oktober 1972 legt sie - abgesehen von hier bedeutungslosen zahlenmässigen Verschiebungen zwischen einzelnen Positionen - dieselbe Berechnung vor. Die Bruttorendite gibt sie für 1968 mit 7,35% an. Für 1969 und 1970 ergeben sich nach ihrer Rechnung bei Einschluss der Fr. 136 000.-- in das investierte Eigenkapital und Verzicht auf Zuweisungen an den Erneuerungsfonds Nettorenditen von 6,21% und 4,92%. Hätte die Beschwerdeführerin für 1968 die Fr. 136 000.-- zum investierten Eigenkapital gerechnet und zudem eine Zuweisung von Fr. 12 000.-- an den Erneuerungsfonds eingesetzt, so hätte sich eine Nettorendite von nur noch 4,25% ergeben, was unter BGE 99 Ib 255 S. 262 den heutigen Verhältnissen wenig ist, wenn es auch noch nicht geradezu als offensichtlich ungenügend bezeichnet werden kann. Die nach Angaben der Beschwerdeführerin ohne Berücksichtigung der Abschreibung von Fr. 136 000.-- in den Jahren 1968, 1969 und 1970 erzielten Bruttorenditen halten sich jedoch mit 7,35%, 7,53% und 7,80% durchaus im Rahmen des Üblichen (vgl. BGE 98 I/b 265/66 Erw. 4 d). Die Höhe der Bruttorendite und nicht jene der Nettorendite gibt aber in erster Linie Aufschluss darüber, ob den Mietern ein zu günstiger Mietzins gewährt wurde. c) Die Beschwerdeführerin anerkennt, den Arbeitnehmern des Vetropack-Konzerns in der Liegenschaft Hochfelden Mietzinsreduktionen zu gewähren. Sie weist aber darauf hin, dass - wie sich aus den Jahresrechnungen ergibt - die Stifterfirma den Ausfall, der durch diese Reduktionen entsteht, jedes Jahr durch entsprechende Vergütungen an die Stiftung kompensiert. Dank diesen Zuschüssen ist es der Stiftung möglich, trotz den Mietzinsreduktionen eine genügende Bruttorendite auszuweisen. Die Gewährung von Mietzinsreduktionen in Verbindung mit der Leistung von entsprechenden Zuschüssen durch die Stifterfirma ist nicht zu beanstanden. d) Es ist nicht ausgeschlossen, dass die Stiftung versucht hätte, auf ihrer Liegenschaft in Hochfelden eine höhere Nettorendite zu erzielen, statt sich mit dem erwähnten verhältnismässig geringen Ansatz zufrieden zu geben, wenn die hier in Frage stehende Operation unterblieben wäre. Entgegen der Ansicht des Regierungsrates darf aber nicht übersehen werden, dass die Stifterfirma der Stiftung zwei Spezialzuwendungen für Wohnungsverbilligung von zusammen Fr. 300 000.-- hat zukommen lassen. Die Bindung dieser Zuwendungen an einen bestimmten Zweck war ohne weiteres zulässig, war die Stifterfirma doch in keiner Weise verpflichtet, die Zuwendungen vorzunehmen. Von der hier in Frage stehenden Operation wurden somit ohnehin keine für die Personalvorsorge bestimmten Mittel der Stiftung betroffen. Die Frage der Steuerfreiheit der beiden Spezialzuwendungen war, nach dem oben ausgeführten, nicht von der Aufsichtsbehörde, sondern ausschliesslich von den zuständigen Steuerbehörden zu entscheiden. Im vorliegenden Falle erübrigen sich deshalb Bemerkungen dazu. e) Es ist nicht zu beanstanden, dass die Stiftung einen Teil BGE 99 Ib 255 S. 263 ihres Vermögens in Immobilien anlegt, die zu ermässigten Mietzinsen an Arbeitnehmer der Stifterfirma und mit dieser verbundener anderer Firmen vermietet werden, solange die aus der Mietzinsermässigung entstehenden Ausfälle, wie im vorliegenden Falle, von der Stifterfirma gedeckt werden (vgl. HELBLING, Personalfürsorge, S. 99). Der Stiftungszweck, wie er im Reglement vom 29. Dezember 1928 präzisiert wird, lässt dies durchaus zu. f) Aus all diesen Erwägungen ergibt sich, dass durch die in Frage stehende Operation keine Mittel der Stiftung ihrem Zwecke entfremdet worden sind. Die Aufsichtsbehörde hat deshalb zu Unrecht verlangt, dass die Fr. 136 000.--auf den Fürsorgefonds zurückzuübertragen seien.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