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232 vom 11. Juli 1973</w:t>
      </w:r>
    </w:p>
    <w:p>
      <w:r>
        <w:t>Bundesgericht (BGE), 1973-07-11, DE</w:t>
      </w:r>
    </w:p>
    <w:p>
      <w:r>
        <w:rPr>
          <w:b/>
        </w:rPr>
        <w:t xml:space="preserve">Quelle: </w:t>
      </w:r>
      <w:r>
        <w:t>https://mcp.opencaselaw.ch/entscheid/bge_BGE_99_Ia_232</w:t>
      </w:r>
    </w:p>
    <w:p>
      <w:r>
        <w:t>FR: BGE BGE 99 Ia 232 du 11 juillet 1973</w:t>
      </w:r>
    </w:p>
    <w:p>
      <w:r>
        <w:t>IT: BGE BGE 99 Ia 232 del 11 luglio 1973</w:t>
      </w:r>
    </w:p>
    <w:p>
      <w:pPr>
        <w:pStyle w:val="Heading2"/>
      </w:pPr>
      <w:r>
        <w:t>Regeste</w:t>
      </w:r>
    </w:p>
    <w:p>
      <w:r>
        <w:t>Regeste Art. 46 Abs. 2 BV, Doppelbesteuerung; Versicherungsleistungen. Das Kapital, das von einem Arbeitgeber oder einer Personalfürsorgestiftung beim Tod des versicherten Arbeitnehmers an dessen Hinterbliebene ausgerichtet wird, unterliegt im interkantonalen Verhältnis der Einkommens- und nicht der Erbschaftssteuer.</w:t>
      </w:r>
    </w:p>
    <w:p>
      <w:r>
        <w:t>Regeste Art. 46 al. 2 Cst., double imposition; prestations d'assurance. Le capital versé, lors du décès d'un employé assuré, par l'employeur ou un fonds de prévoyance du personnel aux survivants de cet employé relève, dans les relations intercantonales, de l'impôt sur le revenu et non de l'impôt sur les successions.</w:t>
      </w:r>
    </w:p>
    <w:p>
      <w:r>
        <w:t>Regesto Art. 46 cpv. 2 CF, doppia imposizione; prestazioni assicurative. Il capitale versato, in occasione del decesso di un lavoratore assicurato, dal datore di lavoro o da un fondo di previdenza del personale ai suoi superstiti, soggiace, nel quadro intercantonale, all'imposta sul reddito e non a quella sulle successioni.</w:t>
      </w:r>
    </w:p>
    <w:p>
      <w:pPr>
        <w:pStyle w:val="Heading2"/>
      </w:pPr>
      <w:r>
        <w:t>Erwägungen</w:t>
      </w:r>
    </w:p>
    <w:p>
      <w:r>
        <w:rPr>
          <w:b/>
        </w:rPr>
        <w:t>E. 2</w:t>
      </w:r>
    </w:p>
    <w:p>
      <w:r>
        <w:t>Nach der Rechtsprechung liegt eine gegen Art. 46 Abs. 2 BV verstossende Doppelbesteuerung vor, wenn ein Steuerpflichtiger von zwei oder mehreren Kantonen für das nämliche Steuerobjekt und für die gleiche Zeit zu Steuern herangezogen wird ( BGE 93 I 241 ). Der Kanton Aargau erhebt auf dem Kapital, das von einem Arbeitgeber oder einer Personalfürsorgestiftung beim Tod des versicherten Arbeitnehmers an dessen Hinterlassene ausgerichtet wird, eine Erbschaftssteuer. Nach § 1 des aargauischen Gesetzes über die Erbschafts- und Schenkungssteuer vom 16. Februar 1922 unterliegt der Erbschafts- und Schenkungssteuer das Vermögen, das durch gesetzliche Erbfolge, letztwillige Verfügung, Erbvertrag, Schenkung oder anderweitige Vermögenszuwendung jemandem zu Eigentum anfällt. Die aargauische Praxis betrachtet die genannten Leistungen als anderweitige Zuwendungen im Sinne dieser Vorschrift. Diese unterliegen nach § 24 lit. a des aargauischen Gesetzes über die direkten Staats- und Gemeindesteuern nicht der Einkommenssteuer. Nach bernischem Recht werden die genannten Leistungen von der Einkommenssteuer erfasst, und zwar als "Kapitalabfindungen aus Dienstverhältnis", wobei sie auch dann nur als Einkommen zu versteuern sind, wenn sie den Erben ausgerichtet werden (Art. 27 Abs. 2 lit. k und Abs. 3 des bernischen StG). Die beiden Kantone erfassen demnach die genannten Leistungen entweder mit der Erbschafts- oder Einkommenssteuer unter Ausschluss der nicht in Betracht fallenden Steuerart. Auf diese Weise entsteht trotz der Verschiedenartigkeit der beiden kantonalen Steuern unbestrittenermassen eine mit Art. 46 Abs. 2 BV nicht zu vereinbarende Doppelbesteuerung. Die kantonalen Behörden gehen denn auch mit Recht davon aus, dass nach Art. 46 Abs. 2 BV nur entweder die aargauische Erbschaftssteuer oder die bernische Einkommenssteuer erhoben werden darf (vgl. LOCHER, Doppelbesteuerung § 1 II B, Nr. 2). BGE 99 Ia 232 S. 235</w:t>
      </w:r>
    </w:p>
    <w:p>
      <w:r>
        <w:rPr>
          <w:b/>
        </w:rPr>
        <w:t>E. 3</w:t>
      </w:r>
    </w:p>
    <w:p>
      <w:r>
        <w:t>Es stellt sich deshalb die Frage, ob im Sinne einer kollisionsrechtlichen Anordnung dem Kanton Aargau der Anspruch auf Erhebung der Erbschaftssteuer oder dem Kanton Bern der Anspruch auf Bezug der Einkommenssteuer einzuräumen ist. In der Rechtslehre wird überwiegend die Ansicht vertreten, Leistungen aus dem privaten und öffentlichrechtlichen Dienstverhältnis, namentlich Alterskapitalien und Todesfallentschädigungen, seien als verdient zu betrachten und aus diesem Grund als Ersatzeinkommen oder fortgesetztes Diensteinkommen wie Erwerbseinkommen zu besteuern, ebenso Leistungen aus Personalfürsorge und Personalversicherung (SOMMER, ZBl 59, 1958, 179/80; KÄNZIG, Kommentar zum WStB, N. 41 zu Art. 21 Abs. 1 lit. a; MASSHARDT, Kommentar zum WStB N. 20 zu Art. 21 Abs. 1 lit. a, N. 99 zu Art. 21 Abs. 3; SIEVEKING, La nature et l'objet de l'impôt sur les successions en Suisse, thèse Lausanne 1970, S. 16/17). Es ist in der Tat eher ungewöhnlich, die genannten Leistungen mit einer Erbschafts- und Schenkungssteuer zu erfassen. Wie das Bundesgericht in Anwendung des Art. 21 Abs. 1 WStB entschieden hat, fallen Kapitalabfindungen der hier in Frage stehenden Art nicht vorerst in die Erbmasse, sondern direkt in das Vermögen der anspruchsberechtigten Erben, so dass sie vom Erbgang unabhängig sind. Anderseits ist es abwegig, die Leistungen als Schenkung zu betrachten ( BGE 74 I 398 ff., vgl. auch ASA 31 S. 374 ff.). Wenn somit die Versicherungsleistungen nicht in die Erbmasse fallen, sondern den Erben direkt zukommen, ist es auch hinsichtlich des örtlichen Anknüpfungspunktes gegeben, der Einkommenssteuer im interkantonalen Verhältnis den Vorzug zu geben. Der Kanton Aargau macht einen Steueranspruch geltend, weil sich der letzte Wohnsitz des Y. in diesem Kanton befand (vgl. BGE 95 I 29 ). Gehören aber die genannten Leistungen gar nicht zur Erbschaft, so rechtfertigt es sich nicht, das Besteuerungsrecht dem Kanton des letzten Wohnsitzes zuzuweisen; vielmehr drängt es sich auf, den Steueranspruch jenem Kanton zu gewähren, in welchem die Erben ihren Wohnsitz haben, denen die Leistungen direkt zufliessen. Ferner mag berücksichtigt werden, dass die hier in Frage stehenden Leistungen im Wehrsteuerrecht als Einkommen erfasst werden ( BGE 74 I 398 ; MASSHARDT a.a.O.). Im interkantonalen Verhältnis ergibt sich BGE 99 Ia 232 S. 236 somit eine einheitliche Besteuerung, wenn die fraglichen Leistungen sowohl nach eidgenössischem wie nach kantonalem Recht der Einkommenssteuer unterliegen. Die Kantone sind zwar grundsätzlich frei, die genannten Leistungen entweder mit der Erbschafts- oder mit der Einkommenssteuer zu erfassen. Muss indessen im Rahmen eines interkantonalen Steuerkonflikts abgeklärt werden, welches System den Vorzug verdient, so ist nach dem Gesagten zugunsten desjenigen Kantons zu entscheiden, der die Leistungen mit der Einkommenssteuer erfasst. Die Beschwerde ist demnach gutzuheissen, soweit sie sich gegen den Kanton Aargau richtet.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