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164</w:t>
      </w:r>
    </w:p>
    <w:p>
      <w:r>
        <w:t>Bundesgericht (BGE), 1973-01-01, DE</w:t>
      </w:r>
    </w:p>
    <w:p>
      <w:r>
        <w:rPr>
          <w:b/>
        </w:rPr>
        <w:t xml:space="preserve">Quelle: </w:t>
      </w:r>
      <w:r>
        <w:t>https://mcp.opencaselaw.ch/entscheid/bge_BGE_99_IV_164</w:t>
      </w:r>
    </w:p>
    <w:p>
      <w:r>
        <w:t>FR: ATF 99 IV 164</w:t>
      </w:r>
    </w:p>
    <w:p>
      <w:r>
        <w:t>IT: DTF 99 IV 164</w:t>
      </w:r>
    </w:p>
    <w:p>
      <w:pPr>
        <w:pStyle w:val="Heading2"/>
      </w:pPr>
      <w:r>
        <w:t>Regeste</w:t>
      </w:r>
    </w:p>
    <w:p>
      <w:r>
        <w:t>Regeste Art. 3 Abs. 2, 27 Abs. 1 SVG. Nicht strafbar macht sich derjenige Fahrzeugführer, der ein nichtiges Verkehrszeichen missachtet, sofern durch sein Verhalten nicht andere Verkehrsteilnehmer, die auf den durch das Signal geschaffenen Rechtsschein vertrauen, konkret gefährdet werden.</w:t>
      </w:r>
    </w:p>
    <w:p>
      <w:r>
        <w:t>Regeste Art. 3 al. 2, 27 al. 1 LCR. Le conducteur d'un véhicule qui ne respecte pas un signal apposé illégalement n'est pas punissable, pour autant que, ce faisant, ilne mette pas concrètement en danger d'autres usagers de la route qui se sont fiés à la situation juridique résultant à leurs yeux du signal en cause.</w:t>
      </w:r>
    </w:p>
    <w:p>
      <w:r>
        <w:t>Regesto Art. 3 cpv. 2, 27 cpv. 1 LCStr. Il conducente che non rispetta un segnale illegalmente posato non è punibile, ritenuto che non metta cosi concretamente in pericolo altri utenti della strada che hanno fatto affidamento sulla situazione giuridica a loro risultante dal segnale.</w:t>
      </w:r>
    </w:p>
    <w:p>
      <w:pPr>
        <w:pStyle w:val="Heading2"/>
      </w:pPr>
      <w:r>
        <w:t>Erwägungen</w:t>
      </w:r>
    </w:p>
    <w:p>
      <w:r>
        <w:rPr>
          <w:b/>
        </w:rPr>
        <w:t>E. 1</w:t>
      </w:r>
    </w:p>
    <w:p>
      <w:r>
        <w:t>Das Bezirksgericht hat entgegen dem Strafbefehl des Bezirksamtes den Beschwerdeführer nur wegen Missachtung von Signalen ( Art. 27 Abs. 1 SVG ), und nicht auch wegen übersetzter Geschwindigkeit ( Art. 32 SVG ) bestraft. Unter Hinweis auf das kantonale Prozessrecht führt die Vorinstanz im angefochtenen Urteil aus, es sei nicht möglich, im Berufungsverfahren den Angeklagten durch einen zusätzlichen Schuldspruch zu beschweren. Im Nichtigkeitsbeschwerdeverfahren vor Bundesgericht steht somit ausschliesslich die Anwendung von Art. 27 SVG zur Entscheidung.</w:t>
      </w:r>
    </w:p>
    <w:p>
      <w:r>
        <w:rPr>
          <w:b/>
        </w:rPr>
        <w:t>E. 2</w:t>
      </w:r>
    </w:p>
    <w:p>
      <w:r>
        <w:t>Die Beschwerde macht geltend, die Signalisation der Geschwindigkeitsbeschränkung sei ungültig gewesen, da sie nicht veröffentlicht worden und der erforderliche Hinweis auf den Rechtsmittelweg dadurch unterblieben sei. Dem wegen Missachtung einer signalisierten Höchstgeschwindigkeit - also einer Allgemeinverfügung - in ein Strafverfahren verwickelten Beschwerdeführer steht unter gewissen Voraussetzungen ein Anspruch auf vorfrageweise Prüfung der Rechtsbeständigkeit der Verfügung durch den Strafrichter zu, unter Ausschluss der Prüfung der Angemessenheit ( BGE 98 IV 111 E. 3, 266). Im vorliegenden Fall konnte der Beschwerdeführer die Rechtsbeständigkeit der Verfügung auf dem Rechtsmittelweg in einem verwaltungsgerichtlichen Verfahren nicht überprüfen lassen, da die Geschwindigkeitsbeschränkung nicht veröffentlicht worden war, mithin ein Hinweis auf eine allfällige Beschwerdemöglichkeit nicht erging. Das hat zur Folge, dass dem Kassationshof in casu nach der oben angeführten Rechtsprechung freie Kognition unter Ausschluss der Überprüfung der Angemessenheit zukommt.</w:t>
      </w:r>
    </w:p>
    <w:p>
      <w:r>
        <w:rPr>
          <w:b/>
        </w:rPr>
        <w:t>E. 3</w:t>
      </w:r>
    </w:p>
    <w:p>
      <w:r>
        <w:t>Soll auf einem bestimmten Strassenabschnitt eine höchstzulässige Geschwindigkeit signalisiert werden, so darf eine solche Verkehrsanordnung nur im Rahmen der gesetzlichen Bestimmungen getroffen werden. Zuständig zum Erlass örtlicher Verkehrsanordnungen auf Nationalstrassen ist das Eidgenössische Departement des Innern, sofern die Anordnung dauernden Charakter hat ( Art. 32 Abs. 5 SVG in Verbindung mit Art. 84 Abs. 2 SSV ). Diese letztere Voraussetzung trifft nach BGE 99 IV 164 S. 167 der Praxis der genannten Behörde nicht zu für Geschwindigkeitsbeschränkungen, von denen im voraus feststeht, dass sie in absehbarer Zeit wieder hinfällig werden, also namentlich für solche, die infolge eines provisorischen Strassenbelags angeordnet wurden. In diesen Fällen ist die Behörde desjenigen Kantons, in dem das betreffende zu signalisierende Strassenstück liegt, für die Anordnung zuständig ( Art. 3 Abs. 1 und 2 SVG ). Sie hat örtliche Verkehrsanordnungen unter Hinweis auf die Beschwerdemöglichkeit möglichst frühzeitig amtlich zu veröffentlichen, wenn sie länger als dreissig Tage dauern sollen oder sich periodisch wiederholen ( Art. 82 Abs. 4 SSV ). Gegen letztinstanzliche kantonale Entscheidungen über Verkehrsanordnungen kann innert dreissig Tagen seit der Veröffentlichung beim Bundesrat Beschwerde geführt werden ( Art. 3 Abs. 4 SVG ).</w:t>
      </w:r>
    </w:p>
    <w:p>
      <w:r>
        <w:rPr>
          <w:b/>
        </w:rPr>
        <w:t>E. 4</w:t>
      </w:r>
    </w:p>
    <w:p>
      <w:r>
        <w:t>Im vorliegenden Fall stellt das Obergericht fest, dass es sich bei der Festsetzung der Höchstgeschwindigkeit nicht um eine dauernde, sondern um eine vorläufige Anordnung handelte. Somit waren die kantonalen Behörden unter Vorbehalt des Beschwerderechts an den Bundesrat für die Anordnung und deren Veröffentlichung zuständig. Unbestritten ist ferner, dass die fragliche Signalisation nicht veröffentlicht und der Rechtsmittelweg nicht geöffnet wurden. Verkehrsanordnungen sind indes nur dann rechtsbeständig, wenn die in Erwägung 3 oben genannten Vorschriften von den zuständigen Behörden beachtet worden sind. Hat eine unzuständige Behörde eine Anordnung erlassen oder ist eine solche zwar von einer zuständigen Behörde verfügt, sind dabei aber die Vorschriften der Veröffentlichung und der Öffnung des Beschwerdewegs missachtet worden, dann sind die Gültigkeitsvoraussetzungen für die entsprechende Signalisation nicht erfüllt. Daraus folgt, dass die im Bereich zwischen Neuenhof und Zürich signalisierte Geschwindigkeitsbeschränkung nicht rechtsbeständig war.</w:t>
      </w:r>
    </w:p>
    <w:p>
      <w:r>
        <w:rPr>
          <w:b/>
        </w:rPr>
        <w:t>E. 5</w:t>
      </w:r>
    </w:p>
    <w:p>
      <w:r>
        <w:t>Fraglich ist, ob ein Strassenbenützer wegen Missachtung eines nichtigen Verkehrszeichens bestraft werden kann. Das Bezirksgericht Baden scheint dies zu bejahen, denn es stellte bloss auf das Überschreiten der signalisierten Höchstgeschwindigkeit ab und stützte seinen Schuldspruch ausschliesslich auf diesen Umstand. Von einer derartigen Verselbständigung eines Verkehrszeichens BGE 99 IV 164 S. 168 einerseits und dessen Missachtung anderseits kann jedoch keine Rede sein. Es ist nicht der Sinn des Gesetzes, dem Strassenbenützer die Beachtung eines jeden Signals unter Androhung von Strafe vorzuschreiben, gleichgültig, ob dieses rechtsbeständig sei oder nicht. Art. 27 Abs. 1 SVG verlangt vom Verkehrsteilnehmer vielmehr die Beachtung der vorschriftsgemäss beschlossenen und angebrachten Signale ( BGE 98 IV 122 E. 2). Damit ist indessen nicht gesagt, dass Verkehrszeichen, bei denen die Gültigkeitsvoraussetzungen im beschriebenen Sinne nicht erfüllt sind, schlechthin unbeachtlich seien. Es gibt Fälle, in denen der Strassenbenützer Verkehrszeichen beachten muss, die zur Erlangung der Rechtsbeständigkeit keines besonderen Verfahrens bedürfen. Nach Art. 27 Abs. 1 Satz 2 SVG gehen Weisungen der Polizeiorgane den allgemeinen Regeln und Signalen vor. Die Polizei kann somit in dringenden Fällen (Unfall, Katastrophe) oder kurzfristig (Umzüge, Ausstellungen, Sportanlässe) rechtsgültige Verkehrsbeschränkungen anordnen, ohne dass diese einer vorgängigen Veröffentlichung bedürften oder die Betroffenen die Rechtsbeständigkeit der Anordnung auf dem Rechtsmittelweg überprüfen lassen könnten. Das gilt jedoch nur für Weisungen einzelner Polizeiorgane, die nicht länger als acht Tage beibehalten werden sollen; andernfalls sind sie von der zuständigen Behörde zu genehmigen ( Art. 82 Abs. 5 SSV ). Sodann ist denkbar, dass die Verkehrssicherheit ein unmittelbares Inkrafttreten von noch nicht rechtskräftigen Verkehrsanordnungen verlangt, selbst wenn diese längere Zeit dauern sollten. Diesfalls ist die Lösung nicht in einer Umgehung der gesetzlichen Vorschriften über das Verfahren und den Rechtsmittelweg zu suchen, sondern nötigenfalls auf dem Wege von vorläufigen Verfügungen der Rechtsmittelinstanzen. Diese werden jedoch eine vorzeitige Inkraftsetzung verweigern müssen, wenn zum vorschriftsgemässen Erlass ein genügender Zeitraum zur Verfügung stand, oder wenn die Anordnung selbst nicht dringlichen Charakter aufweist. Solche Voraussetzungen treffen im vorliegenden Fall nicht zu. Zu Unrecht verweist die Staatsanwaltschaft auf Art. 82 Abs. 5 SSV , denn sie übersieht, dass die fragliche Geschwindigkeitsvorschrift nicht von einem einzelnen Polizeiorgan angeordnet worden ist. Vielmehr hat das kantonale Baudepartement im BGE 99 IV 164 S. 169 Zusammenwirken mit der kantonalen Verkehrspolizei die Anordnung erlassen. Zudem ist der Staatsanwaltschaft die Regel von Art. 82 Abs. 4 SSV entgangen, wonach örtliche Verkehrsanordnungen unter Hinweis auf die Beschwerdemöglichkeit amtlich zu veröffentlichen sind, wenn sie länger als dreissig Tage dauern sollen. Zweifellos war die fragliche Geschwindigkeitsbeschränkung für weit mehr als diese Zeit in Aussicht genommen worden, nämlich für die Dauer von mindestens sechs Monaten. Nachdem bei neueröffneten Nationalstrassen erfahrungsgemäss der Verkehr zunächst während längerer Zeit auf provisorischem Belag geführt wird, womit in den meisten Fällen eine Geschwindigkeitsbeschränkung verbunden ist, haben die zuständigen Behörden in aller Regel genügend Zeit, die nötigen Vorkehrungen zur rechtmässigen Anbringung der entsprechenden Verkehrszeichen zu treffen. Im vorliegenden Fall sind den Akten keine Umstände zu entnehmen, die den Schluss zuliessen, die aargauischen Behörden seien mit der Eröffnung des betreffenden Abschnitts der Autobahn hinsichtlich der Verkehrssicherheit unvermittelt vor Tatsachen gestellt worden, mit denen nicht zu rechnen war. Erforderten die Verhältnisse aber nicht ein unvorhergesehenes, plötzliches Anbringen der Signale, dann mussten die gesetzlichen Vorschriften über den Erlass der Verkehrsanordnung beachtet werden.</w:t>
      </w:r>
    </w:p>
    <w:p>
      <w:r>
        <w:rPr>
          <w:b/>
        </w:rPr>
        <w:t>E. 6</w:t>
      </w:r>
    </w:p>
    <w:p>
      <w:r>
        <w:t>Ausnahmsweise sind auch nicht rechtmässig aufgestellte Verkehrszeichen zu beachten. Die Strassenbenützer können dem äusseren Erscheinungsbild eines Verkehrszeichens nicht ansehen, ob es vorschriftsgemäss aufgestellt wurde. Sie sind nicht verpflichtet und meist auch nicht in der Lage, sich bei der zuständigen Behörde danach zu erkundigen. Vielmehr müssen sie darauf vertrauen können, dass ein tatsächlich aufgestelltes Signal oder eine angebrachte Markierung mit der objektiven Rechtslage übereinstimmt (s. ARNHOLD, Deutsches Autorecht 1973, S. 67). Diesem Umstand hat auch ein Strassenbenützer Rechnung zu tragen, der die rechtliche Unverbindlichkeit des Signals kennt. Er darf nicht durch Missachtung des rechtswidrigen Verkehrszeichens andere Verkehrsteilnehmer konkret gefährden, die auf den durch das Signal geschaffenen Rechtsschein vertrauen. Das Vertrauen dieser Strassenbenützer ist schutzwürdig, unbekümmert um die rechtliche Gültigkeit des Zeichens. Dies trifft beispielsweise zu bei einem rechtswidrig aufgestellten Stopsignal, BGE 99 IV 164 S. 170 wo der Belastete zur Vermeidung von Unfällen auf das Vortrittsrecht verzichten muss; dasselbe gilt bei rechtswidrig angebrachten Sicherheitslinien, signalisierten Einbahnstrassen, usw. Im vorliegenden Fall ist bei der Frage, ob mit der Nichtbeachtung der Geschwindigkeitsbegrenzung durch den Beschwerdeführer ein schutzwürdiges Vertrauen anderer Verkehrsteilnehmer verletzt worden ist, davon auszugehen, dass die betreffende Verkehrsanordnung in erster Linie zur Schonung der vorläufigen Belagsschicht angebracht wurde. Wenn der Beschwerdeführer die vorgeschriebene Höchstgeschwindigkeit überschritten hat, sind dadurch für die übrigen Autobahnbenützer keine zusätzlichen Gefahren entstanden. Es drohten ihnen nur die mit der Benützung der Autobahn ohnehin verbundenen allgemeinen Verkehrsgefahren. Den Beschwerdeführer traf demnach keine Pflicht zur Beachtung der nicht rechtmässig angebrachten Geschwindigkeitsbegrenzung. Infolgedessen ist er von der Anschuldigung des Überschreitens der signalisierten Höchstgeschwindigkeit freizusprechen. Dispositiv Demnach erkennt der Kassationshof: Die Nichtigkeitsbeschwerde wird gutgeheissen, das Urteil des Obergerichts des Kantons Aargau vom 30. März 1973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