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145</w:t>
      </w:r>
    </w:p>
    <w:p>
      <w:r>
        <w:t>Bundesgericht (BGE), 1973-01-01, IT</w:t>
      </w:r>
    </w:p>
    <w:p>
      <w:r>
        <w:rPr>
          <w:b/>
        </w:rPr>
        <w:t xml:space="preserve">Quelle: </w:t>
      </w:r>
      <w:r>
        <w:t>https://mcp.opencaselaw.ch/entscheid/bge_BGE_99_IV_145</w:t>
      </w:r>
    </w:p>
    <w:p>
      <w:r>
        <w:t>FR: ATF 99 IV 145</w:t>
      </w:r>
    </w:p>
    <w:p>
      <w:r>
        <w:t>IT: DTF 99 IV 145</w:t>
      </w:r>
    </w:p>
    <w:p>
      <w:pPr>
        <w:pStyle w:val="Heading2"/>
      </w:pPr>
      <w:r>
        <w:t>Regeste</w:t>
      </w:r>
    </w:p>
    <w:p>
      <w:r>
        <w:t>Regeste Sachbeschädigung; Art. 145 Stgb. Das Anbringen eines Klebezettels auf der Windschutzscheibe eines Automobils, der nur mit Hilfe Dritter entfernt werden kann und der dem Lenker die normale Sicht nimmt, ist Sachbeschädigung im Sinne von Art. 145 StGB.</w:t>
      </w:r>
    </w:p>
    <w:p>
      <w:r>
        <w:t>Regeste Dommages à la propriété; art. 145 CP. Le fait d'apposer sur le pare-brise d'une voiture une étiquette qui ne peut être ôtée qu'avec l'aide de tiers et qui prive le conducteur de sa visibilité normale constitue un dommage au sens de l'art. 145 CP.</w:t>
      </w:r>
    </w:p>
    <w:p>
      <w:r>
        <w:t>Regesto Danneggiamento di una cosa; art. 145 CP. L'apposizione sul parabrezza di un'autovettura di un cartello, levabile solo con l'aiuto di terzi e in posizione da impedire la normale visibilità del conducente, costituisce danneggiamento nel senso dell'art. 145CP.</w:t>
      </w:r>
    </w:p>
    <w:p>
      <w:pPr>
        <w:pStyle w:val="Heading2"/>
      </w:pPr>
      <w:r>
        <w:t>Erwägungen</w:t>
      </w:r>
    </w:p>
    <w:p>
      <w:r>
        <w:rPr>
          <w:b/>
        </w:rPr>
        <w:t>E. 1</w:t>
      </w:r>
    </w:p>
    <w:p>
      <w:r>
        <w:t>Zocchi non si è limitato a esprimere la sua protesta, incollando il cartello su una parte qualsiasi della carrozzeria, indifferente per la guida. L'autorità cantonale ha accertato che egli lo ha disposto in modo da compromettere la visibilità necessaria per condurre e, quindi, in guisa da impedire l'uso BGE 99 IV 145 S. 146 normale del veicolo. È inoltre accertato che Luigia Sormani non è stata personalmente capace di togliere l'impedimento ma ha dovuto far ricorso ad un carrozziere. Ciò stante, il ricorrente ha impedito che il veicolo fosse utilizzato conformemente alla sua destinazione, vale a dire l'ha reso inservibile nel senso dello art. 145 CP (GERMANN, Das Verbrechen im neuen Strafrecht, p. 272; LOGOZ, Commentaire I p. 141; SJZ 1967 p. 245). Il fatto che la querelante sia nondimeno riuscita a condurre la sua macchina ad una carrozzeria - che il ricorrente asserisce distante di km 5 - non annulla l'infrazione, perchè la conducente ha dovuto assumere dei rischi incompatibili con la normale condotta di un veicolo a motore. Le ragioni che l'hanno distolta dal valersi di una più vicina stazione di servizio sono irrilevanti. È accertato, e peraltro evidente, che Zocchi ha agito con piena coscienza e volontà.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