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277</w:t>
      </w:r>
    </w:p>
    <w:p>
      <w:r>
        <w:t>Bundesgericht (BGE), 1973-01-01, FR</w:t>
      </w:r>
    </w:p>
    <w:p>
      <w:r>
        <w:rPr>
          <w:b/>
        </w:rPr>
        <w:t xml:space="preserve">Quelle: </w:t>
      </w:r>
      <w:r>
        <w:t>https://mcp.opencaselaw.ch/entscheid/bge_BGE_99_II_277</w:t>
      </w:r>
    </w:p>
    <w:p>
      <w:r>
        <w:t>FR: ATF 99 II 277</w:t>
      </w:r>
    </w:p>
    <w:p>
      <w:r>
        <w:t>IT: DTF 99 II 277</w:t>
      </w:r>
    </w:p>
    <w:p>
      <w:pPr>
        <w:pStyle w:val="Heading2"/>
      </w:pPr>
      <w:r>
        <w:t>Regeste</w:t>
      </w:r>
    </w:p>
    <w:p>
      <w:r>
        <w:t>Regeste Art. 43 und 68 OG; Art. 5 des Vertrages zwischen der Schweiz und Frankreich über den Gerichtsstand und die Vollziehung von Urteilen in Zivilsachen vom 15. Juni 1869. 1. Die Nichtigkeitsbeschwerde ist im Verhältnis zur Berufung subsidiär. Die Verletzung einer Gerichtsstandsbestimmung kann Gegenstand einer Berufung bilden (Erw. 1). 2. Eine Klage ist erbrechtlicher Natur, wenn die Parteien sich hauptsächlich auf einen erbrechtlichen Anspruch stützen, um den Bestand und den Umfang ihrer Rechte an einem Nachlass feststellen zu lassen (Erw. 2 und 3).</w:t>
      </w:r>
    </w:p>
    <w:p>
      <w:r>
        <w:t>Regeste Art. 43 et 68 OJ; art. 5 de la Convention franco-suisse sur la compétence judiciaire et l'exécution des jugements en matière civile, du 15 juin 1869. 1. La voie du recours en nullité est subsidiaire à celle du recours en réforme. La violation d'une disposition sur le for peut faire l'objet d'un recours en réforme (consid. 1). 2. Une action est de nature successorale lorsque les parties invoquent principalement un titre héréditaire pour faire constater l'existence et l'étendue de leurs droits sur une succession (consid. 2 et 3).</w:t>
      </w:r>
    </w:p>
    <w:p>
      <w:r>
        <w:t>Regesto Art. 43 e 68 OG; art. 5 della convenzione franco-svizzera 15 giugno 1969 sulla competenza di foro e l'esecuzione delle sentenze in materia civile. 1. Il ricorso per nullità è sussidiario rispetto al ricorso per riforma. La violazione di una norma sul foro può costituire oggetto di ricorso per riforma (consid. 1). 2. Un'azione è di natura successorale quando le parti invocano principalmente un titolo ereditario per chiedere l'accertamento dell'esistenza e della portata del loro diritto a una successione (consid. 2 e 3).</w:t>
      </w:r>
    </w:p>
    <w:p>
      <w:pPr>
        <w:pStyle w:val="Heading2"/>
      </w:pPr>
      <w:r>
        <w:t>Erwägungen</w:t>
      </w:r>
    </w:p>
    <w:p>
      <w:r>
        <w:rPr>
          <w:b/>
        </w:rPr>
        <w:t>E. 1</w:t>
      </w:r>
    </w:p>
    <w:p>
      <w:r>
        <w:t>Le prononcé attaqué est une décision préjudicielle prise séparément du fond par la juridiction suprême du canton de Genève. Il porte sur la compétence des tribunaux genevois pour connaître de l'action introduite par la recourante. Invoquant l'art. 68 OJ, celle-ci a formé un recours en nullité. La voie du recours en nullité est subsidiaire à celle du recours en réforme (RO 82 II 561 consid. 2; BIRCHMEIER, Organisation der Bundesrechtspflege, p. 252). Or la violation d'une disposition sur le for - que celle-ci soit contenue dans la législation fédérale ou dans une convention internationale - peut faire l'objet d'un recours en réforme selon l'art. 43 OJ (RO 98 II 90 consid. 1; 84 II 489 consid. 1; WURZBURGER, Les conditions objectives du recours en réforme au Tribunal fédéral, p. 217, note 31). En l'espèce, le recours en nullité doit donc être traité comme recours en réforme, dont il remplit les conditions (art. 46 et 49 OJ).</w:t>
      </w:r>
    </w:p>
    <w:p>
      <w:r>
        <w:rPr>
          <w:b/>
        </w:rPr>
        <w:t>E. 2</w:t>
      </w:r>
    </w:p>
    <w:p>
      <w:r>
        <w:t>L'intimé ne peut, en tant que Grec, invoquer la garantie du for du domicile du défendeur, prévue par l'art. 1er de la Convention franco-suisse sur la compétence judiciaire et l'exécution des jugements en matière civile, du 15 juin 1869 (ci-après: la Convention); cf. RO 80 III 156 consid. 4a et les arrêts cités. De même, la circonstance que l'intimé n'a pas la nationalité française exclut l'application de l'art. 1er de l'ordonnance du Tribunal fédéral du 29 juin 1936 concernant l'acte additionnel du 4 octobre 1935 à la Convention de 1869, selon lequel l'action en validation d'un séquestre ordonné contre un Français domicilié en France doit être portée devant le juge naturel du défendeur en France. En revanche, l'art. 5 de la Convention paraît applicable. En vertu de cette disposition, telle qu'elle est interprétée par la BGE 99 II 277 S. 280 jurisprudence, la succession d'un Français ou d'un Suisse s'ouvre au for du pays d'origine, quel que soit celui des deux Etats où le défunt a eu son dernier domicile; c'est à ce même for que doivent être jugées les actions relatives à la liquidation et au partage d'une succession testamentaire ou ab intestat et aux comptes à faire entre les héritiers ou légataires (RO 24 I 307 ; 29 I 335 consid. 2 ; 62 I 241 consid. 1). Dès lors, la succession de Magda Ch., qui était ressortissante française, décédée en France où elle était domiciliée, s'est ouverte en France et le juge français est seul compétent pour statuer sur l'action introduite par la recourante, pour autant qu'elle soit de nature successorale. Ce dernier principe est d'ailleurs conforme au droit international privé suisse (art. 22, 23 et 32 LRDC).</w:t>
      </w:r>
    </w:p>
    <w:p>
      <w:r>
        <w:rPr>
          <w:b/>
        </w:rPr>
        <w:t>E. 3</w:t>
      </w:r>
    </w:p>
    <w:p>
      <w:r>
        <w:t>Une action est de nature successorale, au sens de l'art. 5 de la Convention, lorsque son essence est de nature successorale, sans qu'il soit d'ailleurs nécessaire que toutes les parties au procès soient des héritiers ou des personnes qui prétendent à la succession (RO 98 II 94 ; 62 I 244 ; 58 I 111 consid. 4). Le fond d'une action relève du droit successoral lorsque les parties invoquent un titre héréditaire pour réclamer une part dans une succession et faire constater l'existence et l'étendue de leurs droits. Déterminants sont les motifs sur lesquels est fondée la demande et sur lesquels s'appuie le défendeur pour résister à la demande, à savoir les titres juridiques invoqués (ROGUIN, Conflits des lois suisses, p. 289 no 176 et p. 405 no 269; AUJAY, Etudes sur le traité franco-suisse... p. 262 no 204; CHÂTENAY, p. 49; CURTI, Der Staatsvertrag zwischen der Schweiz und Frankreich, p. 18-19). En l'espèce, la recourante reproche tout d'abord à l'intimé d'avoir abusé de son pouvoir de disposer des biens de sa femme et d'avoir ainsi détourné de l'actif successoral un montant de 90 000 livres sterling pour son profit personnel et celui de dame Houze. Elle prétend ainsi qu'en vertu des règles du mandat, l'intimé est tenu de restituer cette somme à sa mandante, respectivement aux héritiers de cette dernière. De ce point de vue, la recourante ne procède pas contre l'intimé en sa qualité d'héritier ou de légataire, mais uniquement en tant que gérant des biens de sa femme. L'objet de l'action, qui aurait pu être introduite de son vivant par dame Ch. elle-même, a sans conteste un caractère contractuel. Sous cet angle, l'art. 5 de la Convention est inapplicable (cf. CHÂTENAY, Les successions en droit franco-suisse, BGE 99 II 277 S. 281 p. 48; BOISSONNAS, Les successions et les Conventions francosuisses, p. 149-150). Le caractère contractuel de l'action ressort aussi du fait que la recourante vise à faire valider des séquestres exécutés en son nom, dans son seul intérêt, et à obtenir que l'intimé soit condamné à lui payer à elle-même et non à la succession les montants réclamés. Le fait que la recourante invoque sa qualité d'héritière et que l'on doive se demander si elle peut agir seule, sans le consentement de sa demi-soeur, ne modifie pas la nature de l'action, parce que ces questions portent uniquement sur la qualité pour agir. En revanche, lorsque la recourante invoque, à l'appui de ses prétentions, l'art. 792 du code civil français (CCF), selon lequel l'héritier ou le légataire qui a recelé, au préjudice de ses cohéritiers, des biens appartenant à la succession, est déchu de ses droits sur ces biens, le débat n'a plus lieu sur le terrain contractuel. Il porte directement sur l'existence et l'étendue des droits à la succession, soit, selon l'art. 5 de la Convention, sur "les comptes à faire entre les héritiers ou légataires". Dans cette mesure, l'action doit être qualifiée de successorale. Il en va de même lorsque l'intimé s'oppose à l'action pour le motif que la recourante serait tenue de rapporter à la succession certains biens reçus à titre d'avance d'hoirie. Or il faut admettre que la solution du litige dépend essentiellement du problème de nature successorale, soit de déterminer si l'intimé, bien que légataire universel, doit être considéré comme déchu de tout droit successoral sur le montant recelé, en vertu de la sanction prévue à l'art. 792 CCF, ou si, au contraire, les conclusions de la recourante sont mal fondées dans la mesure où elle est tenue de rapporter certains biens qu'elle aurait reçus à titre d'avance d'hoirie. La question qui relève du droit des obligations, le rapport de mandat, n'est examinée dans ce contexte qu'à titre incident. Le caractère successoral de l'action apparaît prééminent et s'impose. C'est ainsi à bon droit que la recourante a été renvoyée à agir devant le juge français, seul compétent en vertu de l'art. 5 de la Convention.</w:t>
      </w:r>
    </w:p>
    <w:p>
      <w:r>
        <w:rPr>
          <w:b/>
        </w:rPr>
        <w:t>E. 4</w:t>
      </w:r>
    </w:p>
    <w:p>
      <w:r>
        <w:t>Il n'y a pas lieu de déclarer les juridictions genevoises compétentes pour connaître uniquement de la demande tendant à faire constater que l'intimé est débiteur de la succession du montant qu'il aurait encaissé à l'insu de sa mandante, parce que l'action tendant à la validation des séquestres ne vise qu'à un BGE 99 II 277 S. 282 paiement en faveur de la recourante et non de la succession. Au surplus, les conclusions de la recourante ne tendent pas à la constatation d'un droit au profit de la succession. Dans ces conditions, le recours doit être rejeté et il appartiendra au juge français, saisi de l'action successorale, d'examiner à titre préjudiciel le litige relevant du rapport de mandat.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