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125</w:t>
      </w:r>
    </w:p>
    <w:p>
      <w:r>
        <w:t>Bundesgericht (BGE), 1973-01-01, FR</w:t>
      </w:r>
    </w:p>
    <w:p>
      <w:r>
        <w:rPr>
          <w:b/>
        </w:rPr>
        <w:t xml:space="preserve">Quelle: </w:t>
      </w:r>
      <w:r>
        <w:t>https://mcp.opencaselaw.ch/entscheid/bge_BGE_99_II_125</w:t>
      </w:r>
    </w:p>
    <w:p>
      <w:r>
        <w:t>FR: ATF 99 II 125</w:t>
      </w:r>
    </w:p>
    <w:p>
      <w:r>
        <w:t>IT: DTF 99 II 125</w:t>
      </w:r>
    </w:p>
    <w:p>
      <w:pPr>
        <w:pStyle w:val="Heading2"/>
      </w:pPr>
      <w:r>
        <w:t>Regeste</w:t>
      </w:r>
    </w:p>
    <w:p>
      <w:r>
        <w:t>Regeste Art. 46 und 47 Abs. 1 OG. Berechnung des Streitwertes bei Vereinigung verschiedener Rechtsbegehren im kantonalen Verfahren, wovon nur einige vor Bundesgericht noch streitig sind. Die nicht mehr streitigen werden mit den noch streitigen Ansprüchen nur dann zusammengerechnet, wenn sie miteinander zusammenhangen (Bestätigung der Rechtssprechung).</w:t>
      </w:r>
    </w:p>
    <w:p>
      <w:r>
        <w:t>Regeste Art. 46 et 47 al. 1 OJ. Calcul de la valeur litigieuse en cas de réunion en instance cantonale de divers chefs de conclusions dont certains seulement sont encore litigieux devant le Tribunal fédéral. Les prétentions qui ne sont plus litigieuses ne sont additionnées à celles qui le sont encore que que si elles sont connexes (confirmation de la jurisprudence).</w:t>
      </w:r>
    </w:p>
    <w:p>
      <w:r>
        <w:t>Regesto Art. 46 e 47 cpv. 1 OG. Calcolo del valore litigioso nel caso di riunione, in sede cantonale, dei diversi punti delle conclusioni, di cui solo una parte sono ancora litigiosi davanti al Tribunale federale. Le pretese non più litigiose sono sommate a quelle che lo sono ancora solo quando sono connesse (conferma della giurisprudenza).</w:t>
      </w:r>
    </w:p>
    <w:p>
      <w:pPr>
        <w:pStyle w:val="Heading2"/>
      </w:pPr>
      <w:r>
        <w:t>Erwägungen</w:t>
      </w:r>
    </w:p>
    <w:p>
      <w:r>
        <w:rPr>
          <w:b/>
        </w:rPr>
        <w:t>E. 1</w:t>
      </w:r>
    </w:p>
    <w:p>
      <w:r>
        <w:t>Le recours en réforme est recevable si les droits contestés en dernière instance cantonale atteignent une valeur d'au moins 8000 fr. (art. 46 OJ). Aux termes de l'art. 47 al. 1 OJ, les divers chefs de conclusions formés par le demandeur sont additionnés s'ils ne s'excluent pas, même lorsqu'ils portent sur des objets distincts. Le Tribunal fédéral admet donc la recevabilité du recours en réforme en cas de cumul objectif d'actions BGE 99 II 125 S. 127 si les prétentions litigieuses atteignent ensemble la valeur prescrite; peu importe qu'elles soient connexes ou non, pourvu qu'elles fassent l'objet d'un seul jugement (RO 78 II 182 s., 89 II 384 s. consid. 6). Selon une jurisprudence constante en revanche, les divers chefs de conclusions réunis en instance cantonale, mais dont certains seulement sont encore litigieux devant le Tribunal fédéral, ne s'additionnent pas lorsqu'ils ne sont pas connexes, mais qu'ils reposent sur des causes juridiques différentes; le recours n'est ainsi recevable en pareil cas que si les prétentions soumises à la juridiction de réforme atteignent à elles seules le montant prescrit (RO 35 II 711, 61 II 196, 65 II 48, 71 II 182 s.). Cette jurisprudence, instaurée sous le régime de l'ancienne organisation judiciaire, vaut aussi pour la nouvelle (RO 71 II 183; BIRCHMEIER, Bundesrechtspflege, p. 156). Dans le même sens, le Tribunal fédéral a déclaré recevable le recours en réforme sur un chef de conclusions de nature pécuniaire d'une valeur litigieuse inférieure au minimum de l'art. 46 OJ, à condition toutefois que le recours porte aussi sur la prétention non pécuniaire litigieuse dans le même procès (RO 78 II 291, 80 II 30). Cette jurisprudence, critiquée par WURZBURGER (Les conditions objectives du recours en réforme au Tribunal fédéral, thèse Lausanne 1964, p. 153), doit être maintenue. La jonction de prétentions non connexes est une facilité accordée au demandeur, commandée par des raisons d'économie procédurale. Elle irait au-delà de son but si elle devait avoir pour conséquence de fonder la compétence du Tribunal fédéral pour des causes non susceptibles d'être portées devant lui, alors que le motif de simplification pour lequel elle a été introduite a disparu par l'entrée en force du jugement cantonal sur certaines de ces prétentions (RO 61 II 196). Le Tribunal fédéral n'a pas à tenir compte de chefs de conclusions définitivement tranchés, ni d'une jonction qui n'existe plus. En l'èspèce, le demandeur faisait valoir en instance cantonale une prétention pour tort moral de 5000 fr., montant inférieur à la valeur litigieuse minimale prescrite par l'art. 46 OJ. La recevabilité du recours dépend dès lors de la connexité de cette prétention avec celle qui tendait au paiement d'honoraires et qui n'est plus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