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35 vom 24. Januar 1973</w:t>
      </w:r>
    </w:p>
    <w:p>
      <w:r>
        <w:t>Bundesgericht (BGE), 1973-01-24, DE</w:t>
      </w:r>
    </w:p>
    <w:p>
      <w:r>
        <w:rPr>
          <w:b/>
        </w:rPr>
        <w:t xml:space="preserve">Quelle: </w:t>
      </w:r>
      <w:r>
        <w:t>https://mcp.opencaselaw.ch/entscheid/bge_BGE_99_IA_35</w:t>
      </w:r>
    </w:p>
    <w:p>
      <w:r>
        <w:t>FR: BGE BGE 99 IA 35 du 24 janvier 1973</w:t>
      </w:r>
    </w:p>
    <w:p>
      <w:r>
        <w:t>IT: BGE BGE 99 IA 35 del 24 gennaio 1973</w:t>
      </w:r>
    </w:p>
    <w:p>
      <w:pPr>
        <w:pStyle w:val="Heading2"/>
      </w:pPr>
      <w:r>
        <w:t>Regeste</w:t>
      </w:r>
    </w:p>
    <w:p>
      <w:r>
        <w:t>Regeste Art. 22 ter BV; Eigentumsgarantie; Interessenabwägung, Verhältnismässigkeit. Das baselstädtische Gesetz über den Abbruch von Wohnhäusern in der Fassung vom 11. November 1971/23. April 1972, das ein unbefristetes Abbruchverbot enthält, verstösst nicht gegen die Eigentumsgarantie.</w:t>
      </w:r>
    </w:p>
    <w:p>
      <w:r>
        <w:t>Regeste Art. 22 ter Cst.; garantie de la propriété; balance des intérêts en présence, proportionnalité. La loi du canton de Bâle-Ville relative à la démolition des maisons d'habitation, qui contient, dans sa teneur du 11 novembre 1971/23 avril 1972, une interdiction de démolir non limitée dans le temps, ne viole pas la garantie de la propriété.</w:t>
      </w:r>
    </w:p>
    <w:p>
      <w:r>
        <w:t>Regesto Art. 22 ter CF; garanzia della proprietà; ponderazione degli interessi, proporzionalità. La legge del cantone di Basilea-Città relativa alla demolizione degli immobili d'abitazione e che contiene, nel suo testo dell'11 novembre 1971/23 aprile 1972, una proibizione di demolire non limitata nel tempo, non viola la garanzia della proprietà.</w:t>
      </w:r>
    </w:p>
    <w:p>
      <w:pPr>
        <w:pStyle w:val="Heading2"/>
      </w:pPr>
      <w:r>
        <w:t>Erwägungen</w:t>
      </w:r>
    </w:p>
    <w:p>
      <w:r>
        <w:rPr>
          <w:b/>
        </w:rPr>
        <w:t>E. 3</w:t>
      </w:r>
    </w:p>
    <w:p>
      <w:r>
        <w:t>Art. 22 ter Abs. 2 BV ermächtigt die Kantone,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96 I 558 ff. mit Hinweisen auf Rechtsprechung und Lehre). Der kantonale Gesetzgeber hat demnach von Bundesverfassungs wegen darauf zu achten, dass die sich aus dem Eigentum ergebenden privaten Verfügungs- und Nutzungsrechte im wesentlichen erhalten bleiben. Wie sich aus Art. 22 ter Abs. 2 BV ergibt, sind öffentlichrechtliche und aufgesetzlicher Grundlage beruhende Eigentumsbeschränkungen sodann mit der Bestandesgarantie nur vereinbar, wenn dafür ein erhebliches öffentliches Interesse besteht und der Eingriff nicht weiter geht, als es dieses öffentliche Interesse gebietet (Grundsatz der Verhältnismässigkeit). Kommen sie einer Enteignung gleich, so hat der betroffene Eigentümer nach Massgabe von Art. 22 ter Abs. 3 BV Anspruch auf volle Entschädigung ( BGE 98 Ia 376 Erw. 4 mit Verweisungen). Aus Art. 22 ter Abs. 2 BV folgt weiter, dass die Kantonsverfassungen allenfalls einen weitergehenden Schutz des Eigentums vorsehen können, den der kantonale Gesetzgeber im Rahmen seiner bundesrechtlichen Befugnisse zum Erlass von Eigentumsbeschränkungen zu beachten hat. § 5 der baselstädtischen BGE 99 Ia 35 S. 38 Kantonsverfassung sichert das Eigentum vor willkürlicher Verletzung. Da diese kantonale Gewährleistung somit jedenfalls nicht weiter reicht als die bundesrechtliche Eigentumsgarantie, kann sie im folgenden ausser Betracht bleiben. Die Beschwerdeführerin rügt, ein dauerndes, d.h. zeitlich unbefristetes Abbruchverbot, wie es mit dem angefochtenen Gesetz erlassen worden sei, verstosse gegen die bundesrechtliche Gewährleistung des Eigentums in ihrer Erscheinungsform als Bestandesgarantie. Sie macht geltend, für einen solchen Eingriff bestehe kein hinreichendes öffentliches Interesse, anerkennt aber ausdrücklich, dass ein befristetes Abbruchverbot für Wohnhäuser in städtischen Gebieten mit ausgeprägter Wohnungsnot nicht gegen die Eigentumsgarantie verstösst und schliesst sich damit den vom Bundesgericht im Urteil 89 I 462 sowie in zwei neueren, unveröffentlichten Entscheiden (vom 6. Oktober 1971 i.S. Société immobilière Toepffer-Galland, Erw. 3 und i.S. Société immobilière Rue de l'Ecole de Médecine, Erw. 2b) angestellten Erwägungen an. a) Ob an einer Eigentumsbeschränkung ein erhebliches öffentliches Interesse besteht, das im Vergleich mit den ihm entgegenstehenden privaten Interessen überwiegt, und ob der fragliche Eingriff nicht weiter geht, als es dieses öffentliche Interesse erfordert, prüft das Bundesgericht grundsätzlich frei. Dabei übt es jedoch Zurückhaltung, soweit die Beurteilung von einer Würdigung der örtlichen Verhältnisse abhängt, welche die kantonalen Behörden besser kennen und überblicken als das Bundesgericht, und soweit sich ausgesprochene Ermessensfragen stellen ( BGE 98 Ia 376 Erw. 4 mit Verweisungen). Diese Zurückhaltung rechtfertigt sich insbesondere bei der Beurteilung von Beschwerden gegen generell-abstrakte Anordnungen des kantonalen Gesetzgebers, die - wie im vorliegenden Fall - vorwiegend aus wirtschafts- und sozialpolitischen Gründen getroffen worden sind. Ob an der angefochtenen Eigentumsbeschränkung ein hinreichendes öffentliches Interesse besteht, hängt in besonderem Masse von einer Würdigung der im Kanton Basel-Stadt vorhandenen wirtschaftlichen und sozialen Gegebenheiten und Bedürfnisse ab. Dabei hat der kantonale Gesetzgeber nicht nur von den zur Zeit des umstrittenen Erlasses bestehenden tatsächlichen Verhältnissen auszugehen, sondern er ist im Rahmen der ihm zukommenden politischen Aufgaben berechtigt und verpflichtet, aufgrund einer vernünftigen Prognose insbesondere BGE 99 Ia 35 S. 39 auch die künftige Entwicklung zu berücksichtigen. Gerade in diesem Bereich ist ihm ein verhältnismässig weiter Ermessensspielraum zuzuerkennen. Ob der Grosse Rat des Kantons Basel-Stadt in diesem Zusammenhang alle wesentlichen Gesichtspunkte in jeder Hinsicht richtig gewürdigt hat, vermag das Bundesgericht demnach nicht umfassend zu beurteilen, zumal es grundsätzlich nicht Sache des Verfassungsrichters sein kann, vom Gesetzgeber getroffene und gegebenenfalls vom Volk gebilligte politische Ermessensentscheidungen zu überprüfen (vgl. P. SALADIN, Grundrechte im Wandel, S. 353 und 398). Bei aller mit Rücksicht auf das gesetzgeberische Gestaltungsermessen gebotenen Zurückhaltung kann das Bestehen eines hinreichenden öffentlichen Interesses an einer Eigentumsbeschränkung der hier in Frage stehenden Art jedoch nur dann bejaht werden, wenn der Gesetzgeber einleuchtende Gründe für sein Vorgehen anzugeben vermag. Dabei sind an die massgebenden Bedürfnisse der Allgemeinheit um so höhere Anforderungen zu stellen, je stärker mit dem fraglichen Gesetz in das Eigentum eingegriffen wird. Ebenso ist in diesem Zusammenhang erheblich, ob bloss eine vorübergehende oder aber eine dauernde Eigentumsbeschränkung in Frage steht. b) Laut Ingress bezweckt der angefochtene Erlass, die Wohnungsnot zu bekämpfen und der Erhaltung preisgünstiger Wohnungen zu dienen. Er soll demnach einer Entwicklung entgegenwirken, die kurz nach dem zweiten Weltkrieg eingesetzt und insbesondere wegen des stetigen Ansteigens der Baukosten, des wirtschaftlichen Aufschwungs und des damit verbundenen Bevölkerungszuwachses in städtischen Ballungsgebieten zu einer bedrohlichen Verknappung des Angebots an preisgünstigen Wohnungen geführt hat. Dieser Missstand trifft insbesondere die wirtschaftlich weniger leistungsfähigen Bevölkerungskreise. Seit langem ist deshalb die Bereitstellung billigen Wohnraums als Massnahme der sozialen Wohlfahrt und damit als öffentliche Aufgabe anerkannt (vgl. z.B. die entsprechenden gesetzgeberischen Massnahmen auf Bundesebene, namentlich den BB vom 31. Januar 1958 über Massnahmen zur Förderung des sozialen Wohnungsbaus, AS 1958, S. 419 ff., das BG vom 19. März 1965 über Massnahmen zur Förderung des Wohnungsbaues, AS 1966 S. 433, mit Abänderungen vom 30. März 1970, AS 1970 S. 891 ff.). Das gleiche gilt für den Mieterschutz (vgl. BGE 98 Ia 498 Erw. 4 mit weiteren Hinweisen). Mit Rücksicht darauf wurden BGE 99 Ia 35 S. 40 in den von Volk und Ständen am 5. März 1972 angenommenen Art. 34 sexies und 34 septies BV denn auch ausdrückliche verfassungsrechtliche Grundlagen für entsprechende Vorkehren des Bundesgesetzgebers geschaffen. Wie das Bundesgericht sowohl unter dem Gesichtswinkel der Willkür ( BGE 89 I 462 ) als auch bei freier Prüfung (unveröffentlichtes Urteil vom 6. Oktober 1971 i.S. S.I. Toepffer-Galland, Erw. 3a) erkannt hat, besteht unter diesen Umständen grundsätzlich ein erhebliches öffentliches Interesse am Erlass eines Abbruchverbots für Wohnhäuser. Wohl können damit - abgesehen von den daraus sich ergebenden Beschränkungen für die Eigentümer solcher Gebäude - verschiedene Unzukömmlichkeiten wirtschaftlicher und sozialer Art verbunden sein, und es mag diese Massnahme auch nicht die wirksamste aller erwägenswerten Vorkehren zur Erhaltung billigen Wohnraumes darstellen. Dennoch kann nicht bestritten werden, dass in ihr ein taugliches Mittel zur Bekämpfung der Wohnungsnot erblickt werden kann. Wie die Entwicklung in den letzten Jahrzehnten gezeigt hat, handelt es sich bei den Bemühungen um Erhaltung und Bereitstellung preisgünstiger Wohnungen voraussichtlich noch während längerer Zeit um eine vom Gemeinwesen zu erfüllende Aufgabe, zumal sich die Verhältnisse namentlich in städtischen Ballungsgebieten gerade in jüngster Zeit zu Ungunsten der Wohnungssuchenden entwickelt haben und keine Anzeichen für ein in Kürze bevorstehendes Abklingen der Wohnungsnot zu bestehen scheinen. So deutet insbesondere nichts darauf hin, dass die entsprechenden gesetzlichen Massnahmen in anderen Kantonen (z.B. das Genfer Abbruchgesetz vom 17. Oktober 1962 und die dem gleichen Zweck dienenden Dekrete in den Kantonen Waadt und Neuenburg vom 5. Dezember 1962 /19. November 1969 bzw. vom 18. Juni 1963) in absehbarer Zeit ausser Kraft gesetzt werden könnten. Entgegen der von der Beschwerdeführerin vertretenen Auffassung durfte mithin auch der baselstädtische Gesetzgeber davon ausgehen, er erfülle mit dem Erlass eines Abbruchverbots für Wohnhäuser voraussichtlich eine Daueraufgabe des Gemeinwesens, die nach den Umständen eine unbefristete Eigentumsbeschränkung rechtfertige (vgl. den entsprechenden Ratschlag des Regierungsrats vom 18. Mai 1971, S. 9 Ziff. IV). Nach den Akten besteht jedenfalls kein Grund zur Annahme, er habe damit den ihm zustehenden Handlungsspielraum überschritten oder missbraucht. BGE 99 Ia 35 S. 41 Das Bestehen eines erheblichen öffentlichen Interesses an der angefochtenen Eigentumsbeschränkung ist daher zu bejahen. c) Zu prüfen ist, ob dieses öffentliche Interesse gegenüber den ihm entgegenstehenden privaten Interessen überwiegt, d.h. ob die angefochtene Ordnung als verhältnismässig bezeichnet werden kann. Das Abbruchverbot für Wohnhäuser stellt zwar einen erheblichen Eingriff in die Verfügungsfreiheit der betroffenen Eigentümer dar. Die wesentlichen, aus dem Eigentum sich ergebenden Befugnisse bleiben den Eigentümern jedoch erhalten. So ist es ihnen namentlich unbenommen, ihr Grundstück zu veräussern oder im bisherigen Rahmen wirtschaftlich sinnvoll zu nutzen. Unter welchen Voraussetzungen eine Abbruchbewilligung erteilt werden muss oder kann, ist im Gesetz zudem einlässlich geregelt (§§ 2 und 3). Wohl steht der zuständigen Behörde bei der Anwendung der Kann-Vorschrift in § 3 des Gesetzes ein erheblicher Ermessensspielraum offen. Wie der Grosse Rat mit Recht ausführt (Beschwerdeantwort S. 16), bedeutet dies jedoch keine Ermächtigung zum Entscheid nach Belieben (vgl. BGE 89 I 464 ). Die Behörde ist vielmehr verpflichtet, im Einzelfall eine sorgfältige Interessenabwägung vorzunehmen und dabei insbesondere auch den Grundsatz der Rechtsgleichheit und das Gebot des Handelns nach Treu und Glauben zu beachten. Sind die in § 3 beispielsweise erwähnten oder ihnen aufgrund einer Interessenabwägung allenfalls gleichzustellenden Voraussetzungen erfüllt, so ist die Abbruchbewilligung im konkreten Fall zu erteilen. Dies anerkennt auch der Grosse Rat (Beschwerdeantwort S. 16/17). Der kantonale Gesetzgeber ist sodann dabei zu behaften, dass § 3 des Abbruchgesetzes nicht starr angewendet, sondern um so ausdehender ausgelegt werden soll, je mehr die zu bekämpfende Wohnungsnot gegebenenfalls abklingt (Beschwerdeantwort S. 13 unten). Gesamthaft betrachtet, erlaubt die im Gesetz enthaltene Regelung der Bewilligungsgründe demnach ohne weiteres eine massvolle Praxis, die weder eine in vernünftigen Grenzen verlaufende Erneuerung des Wohnungsbestandes im besonderen, noch eine angemessene wirtschaftliche Weiterentwicklung im allgemeinen unterbindet, sondern gestattet, den berechtigten privaten Interessen im Einzelfall gebührend Rechnung zu tragen. Nichts hindert im übrigen den betroffenen Grundeigentümer, einen zu seinen Ungunsten ausgefallenen BGE 99 Ia 35 S. 42 letztinstanzlichen kantonalen Entscheid über ein Abbruchgesuch mit staatsrechtlicher Beschwerde anzufechten und nachzuweisen, dass ein überwiegendes öffentliches Interesse an einem Abbruchverbot im konkreten Fall nicht oder nicht mehr besteht. Da die gesetzliche Ordnung nach dem Gesagten verfassungskonform angewendet werden kann und dem Betroffenen hinreichende Rechtsbehelfe zum Schutz seiner privaten Interessen zur Verfügung stehen, besteht im Rahmen der im vorliegenden Verfahren vorzunehmenden abstrakten Normenkontrolle kein Grund zur Annahme, das angefochtene unbefristete Abbruchverbot verstosse generell gegen den Grundsatz der Verhältnismässigkeit. Die Rüge, der angefochtene Erlass verletze die Eigentumsgarantie, erweist sich daher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