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154 vom 11. Juli 1973</w:t>
      </w:r>
    </w:p>
    <w:p>
      <w:r>
        <w:t>Bundesgericht (BGE), 1973-07-11, DE</w:t>
      </w:r>
    </w:p>
    <w:p>
      <w:r>
        <w:rPr>
          <w:b/>
        </w:rPr>
        <w:t xml:space="preserve">Quelle: </w:t>
      </w:r>
      <w:r>
        <w:t>https://mcp.opencaselaw.ch/entscheid/bge_BGE_99_IA_154</w:t>
      </w:r>
    </w:p>
    <w:p>
      <w:r>
        <w:t>FR: BGE BGE 99 IA 154 du 11 juillet 1973</w:t>
      </w:r>
    </w:p>
    <w:p>
      <w:r>
        <w:t>IT: BGE BGE 99 IA 154 del 11 luglio 1973</w:t>
      </w:r>
    </w:p>
    <w:p>
      <w:pPr>
        <w:pStyle w:val="Heading2"/>
      </w:pPr>
      <w:r>
        <w:t>Regeste</w:t>
      </w:r>
    </w:p>
    <w:p>
      <w:r>
        <w:t>Regeste Art. 4 BV, Rechtsgleichheit; Beiträge der Grundeigentümer an die Strassenbaukosten. Das Reglement der Gemeinde Hallau, das die Eigentümer von Grundstücken im Baugebiet grundsätzlich zu Beitragsleistungen verpflichtet, die Eigentümer von Grundstücken der Kernzone jedoch davon befreit, verstösst gegen den Grundsatz der Rechtsgleichheit.</w:t>
      </w:r>
    </w:p>
    <w:p>
      <w:r>
        <w:t>Regeste Art. 4 Cst., égalité de traitement; contributions des propriétaires fonciers aux frais de construction des routes. Le règlement de la commune de Hallau, qui astreint en principe les propriétaires de biens-fonds situés dans les zones de construction au paiement de contributions pour les routes, mais en libère les propriétaires de biens-fonds situés au centre de la localité, viole le principe de l'égalité de traitement.</w:t>
      </w:r>
    </w:p>
    <w:p>
      <w:r>
        <w:t>Regesto Art. 4 CF, parità di trattamento; contributi dei proprietari fondiari alle spese di costruzione stradale. Il regolamento del comune di Hallau, che assoggetta in principio i proprietari dei fondi situati nelle zone edificabili al pagamento di contributi per la costruzione di strade, ma ne esenta i proprietari di fondi ubicati nel centro della località, viola la regola della parità di trattamento.</w:t>
      </w:r>
    </w:p>
    <w:p>
      <w:pPr>
        <w:pStyle w:val="Heading2"/>
      </w:pPr>
      <w:r>
        <w:t>Erwägungen</w:t>
      </w:r>
    </w:p>
    <w:p>
      <w:r>
        <w:rPr>
          <w:b/>
        </w:rPr>
        <w:t>E. 2</w:t>
      </w:r>
    </w:p>
    <w:p>
      <w:r>
        <w:t>Der Beschwerdeführer verlangt, dass das Beitragsreglement wegen der durch die Ausnahme der Kernzone von der Beitragspflicht geschaffenen Rechtsungleichheit für nicht anwendbar erklärt, und dass er von jeder Beitragspflicht befreit werde. Sinngemäss stellt er damit das Begehren, das angefochtene Urteil vom 27. Oktober 1972 sei aufzuheben. Nach der Rechtsprechung kann die Verfassungswidrigkeit eines Erlasses noch im Anschluss an einen Anwendungsakt mit staatsrechtlicher Beschwerde gerügt werden ( BGE 97 I 915 , 29 mit Verweisungen). Der im Anschluss an das obergerichtliche Urteil vom 27. Oktober 1972 erhobene Vorwurf, Art. 1 des Beitragsreglements verstosse gegen den Grundsatz der Rechtsgleichheit und stehe daher in Widerspruch zu Art. 4 BV , ist somit zulässig.</w:t>
      </w:r>
    </w:p>
    <w:p>
      <w:r>
        <w:rPr>
          <w:b/>
        </w:rPr>
        <w:t>E. 3</w:t>
      </w:r>
    </w:p>
    <w:p>
      <w:r>
        <w:t>Auf den ersten Blick mag verständlich scheinen, dass für die Eigentümervon in der Kernzone gelegenen Grundstücken keine Beitragspflicht bestehen soll. Diese Zone ist strassenmässig weitgehend erschlossen. Wie sich aus den Akten ergibt, wurden in der Kernzone vor Inkrafttreten des Beitragsreglements BGE 99 Ia 154 S. 157 Verkehrsanlagen gebaut, ohne dass die Eigentümer Anstösserbeiträge zu bezahlen hatten. Bestünde die neu eingeführte Beitragspflicht auch für die Kernzone, so hätten in Zukunft nur noch wenige Grundeigentümer dieser Zone Beiträge zu leisten, während alle andern von der frühern Ordnung profitierten, da ihre Gebäude durch die Strassenerschliessung einen Mehrwert erhielten, ohne dass dafür Beiträge geleistet werden mussten. Schafft indessen eine Gemeinde eine neue Ordnung, mit der sie Anstösserbeiträge einführt, so müssen nach dem neuen Reglement beim Bau neuer Strassen alle Eigentümer, deren Grundstücke den gleichen Mehrwert erhalten, gleich behandelt werden. Massgebend ist nicht, ob die Eigentümer, deren Grundstücke nach Inkrafttreten des Reglements durch Strassenanlagen einen Mehrwert erhalten, gleich behandelt werden wie Eigentümer, deren Grundstücke vor dem Inkrafttreten des Reglements aus dem gleichen Grund eine Wertvermehrung erfahren haben. Art. 4 BV verlangt vielmehr, dass durch das neue Reglement alle Grundeigentümer, deren Grundstücke durch neue Strassen einen gleichen Mehrwert erhalten, auch gleichmässig zu Beiträgen herangezogen werden. Das trifft im vorliegenden Fall offensichtlich nicht zu. Werden in Zukunft Grundstücke der Kernzone durch Strassen erschlossen, so nimmt ihr Wert in gleichem oder ähnlichem Mass zu wie jener von neuerschlossenen Grundstücken in andern Bauzonen. Unter diesen Umständen besteht kein sachlicher Grund, die einen Grundeigentümer von der Beitragspflicht auszunehmen und von den andern - unter Umständen recht hohe - Beiträge zu verlangen. Wie das Obergericht zutreffend ausführt, wäre diese ungleiche Behandlung vor allem dann augenfällig, wenn eine über die Grenze der Kernzone hinweg führende Strasse erstellt würde. An die Baukosten für die nämliche Strasse hätten die einen Anstösser Beiträge zu leisten, während die andern davon völlig befreit wären. In andern Fällen wäre die Ungleichheit zwar nicht derart offensichtlich, sie bestünde indessen gleichwohl. Im Urteil 97 I 800/1 hat es das Bundesgericht freilich zugelassen, dass in einem Reglement nur die Ersteller von Neu- oder Umbauten, nicht aber die Eigentümer von Altbauten zur Errichtung von Parkplätzen verpflichtet werden, obschon auch diese oder ihre Mieter Motorfahrzeuge halten (vgl. dazu auch BGE 99 Ia 154 S. 158 H. HUBER, Die Rechtsprechung des Bundesgerichts im Jahre 1959, ZBJV 96/1960, S. 364). Dieser Entscheid lässt sich damit rechtfertigen, dass die Eigentümer, die unter der Herrschaft des alten Rechts bauten, sich in einer durch die Ausnützung der Baubewilligung gefestigten Rechtslage befinden. Gleiches oder ähnliches trifft im vorliegenden Fall nicht zu, denn bestimmte Grundeigentümer werden einzig deshalb von der Beitragspflicht ausgenommen, weil früher andere Eigentümer von in der gleichen Zone gelegenen Grundstücken keine Beiträge zu leisten hatten. Dieser Umstand vermag eine rechtlich verschiedene Behandlung durchaus gleicher Verhältnisse nach dem Gesagten nicht zu begründen. Mit der in Art. 1 enthaltenen Bestimmung, wonach die Beitragspflicht für das Baugebiet der Gemeinde Hallau gemäss Bauzonenplan mit Ausnahme der Kernzone gilt, trifft das Reglement rechtliche Unterscheidungen, für die ein vernünftiger Grund in den tatsächlichen Verhältnissen nicht zu ersehen ist. Insoweit verstösst es daher gegen Art. 4 BV ( BGE 97 I 782 mit Hinweis auf frühere Urteile). Die Beschwerde ist demnach gutzuheissen und der angefochtene Entscheid des Obergerichts des Kantons Schaffhausen vom 27. Oktober 1972 aufzuheben. Das hat zur Folge, dass der Beschwerdeführer nicht aufgrund von Art. 1 Abs. 1 des Reglements zur Beitragsleistung herangezogen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