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262</w:t>
      </w:r>
    </w:p>
    <w:p>
      <w:r>
        <w:t>Bundesgericht (BGE), 1972-01-01, DE</w:t>
      </w:r>
    </w:p>
    <w:p>
      <w:r>
        <w:rPr>
          <w:b/>
        </w:rPr>
        <w:t xml:space="preserve">Quelle: </w:t>
      </w:r>
      <w:r>
        <w:t>https://mcp.opencaselaw.ch/entscheid/bge_BGE_98_V_262</w:t>
      </w:r>
    </w:p>
    <w:p>
      <w:r>
        <w:t>FR: ATF 98 V 262</w:t>
      </w:r>
    </w:p>
    <w:p>
      <w:r>
        <w:t>IT: DTF 98 V 262</w:t>
      </w:r>
    </w:p>
    <w:p>
      <w:pPr>
        <w:pStyle w:val="Heading2"/>
      </w:pPr>
      <w:r>
        <w:t>Regeste</w:t>
      </w:r>
    </w:p>
    <w:p>
      <w:r>
        <w:t>Regeste Invaliditätsbemessung: Voraussetzungen des Übergangs vom Kriterium des Art. 5 Abs. 1 (Unmöglichkeit, sich im bisherigen Aufgabenbereich zu betätigen) zu dem des Art. 28 IVG (Erwerbsunfähigkeit). Bei der getrennt lebenden Ehefrau, die bis zur Trennung keiner Erwerbstätigkeit nachging, rechtfertigt sich der erwähnte Übergang dann, wenn sich diese Frau wahrscheinlich auch ohne Invalidität überwiegend erwerblich betätigen würde.</w:t>
      </w:r>
    </w:p>
    <w:p>
      <w:r>
        <w:t>Regeste Evaluation de l'invalidité: Conditions de passage du critère de l'art. 5 al. 1er (empêchement d'accomplir les travaux habituels) à celui de l'art. 28 LAI (incapacité de gain). Pour l'épouse vivant séparée et ne s'occupant pas lucrativement avant la séparation, le dit passage se justifie si, depuis lors, l'intéressée aurait probablement exercé une activité lucrative prépondérante sans l'atteinte à sa santé.</w:t>
      </w:r>
    </w:p>
    <w:p>
      <w:r>
        <w:t>Regesto Graduazione dell'invalidità: Condizionidelpassaggio del criterio dell'art. 5 cpv. 1 (impossibilità di svolgere le proprie mansioni consuete) a quello dell'art. 28 LAI (incapacità di guadagno). Per la moglie separata la quale fino alla separazione non si occupava lucrativamente, il passaggio anzidetto si giustifica ove sia probabile che essa eserciterebbe un'attività lucrativa preponderante se fosse rimasto valida.</w:t>
      </w:r>
    </w:p>
    <w:p>
      <w:pPr>
        <w:pStyle w:val="Heading2"/>
      </w:pPr>
      <w:r>
        <w:t>Erwägungen</w:t>
      </w:r>
    </w:p>
    <w:p>
      <w:r>
        <w:rPr>
          <w:b/>
        </w:rPr>
        <w:t>E. 1</w:t>
      </w:r>
    </w:p>
    <w:p>
      <w:r>
        <w:t>... In BGE 97 V 243 (ZAK 1972 S. 298) hat das Eidg. Versicherungsgericht entschieden, dass die in einem bestimmten Zeitpunkt massgebende Methode der Invaliditätsschätzung die künftige Rechtsstellung einer Versicherten nicht präjudiziert, sondern dass die alternativen Kriterien - Erwerbsunfähigkeit oder Unmöglichkeit der Betätigung im bisherigen Aufgabenbereich - im Einzelfall einander ablösen können. Daher BGE 98 V 262 S. 264 ist es möglich, dass ein Versicherter nicht mehr dem Personenkreis angehört, auf den Art. 28 Abs. 2 IVG anwendbar ist, und zu jenem gemäss Art. 5 Abs. 1 IVG übergeht. So erklärte das Gericht im Fall einer Versicherten, die vor ihrer Verehelichung eine ganze Invalidenrente auf Grund von Art. 28 IVG bezogen hatte, dass das vor der Heirat angewandte Kriterium nicht mehr unbedingt auch für die Invaliditätsschätzung nach der Heirat entscheidend sei. Massgebend sei vielmehr jene Tätigkeit, welche die Versicherte seit der Verehelichung ausüben würde, wenn sie nicht invalid geworden wäre. Es müsse daher geprüft werden, ob die Versicherte ohne Invalidität mit Rücksicht auf ihre wirtschaftlichen und familiären Verhältnisse seit der Heirat vorwiegend erwerbstätig oder in ihrem Haushalt beschäftigt wäre. In gleicher Weise muss auch bei einer invaliden Ehefrau, die von ihrem Mann getrennt lebt, untersucht werden, ob sie - wäre sie gesund - angesichts ihrer konkreten persönlichen Verhältnisse wahrscheinlich einer Erwerbstätigkeit nachginge oder sich auf die Führung ihres Haushaltes beschränken würde. Für die Ausübung einer Erwerbstätigkeit spricht nicht ohne weiteres die Tatsache der Ehetrennung allein und die damit für die Versicherte verbundene grössere Möglichkeit, berufstätig zu sein. Wohl aber kann die Höhe der vom Ehemann zu entrichtenden Unterhaltsbeiträge ein Anhaltspunkt für die Wahl des anzuwendenden Bemessungskriteriums sein (vgl. ZAK 1971 S. 220).</w:t>
      </w:r>
    </w:p>
    <w:p>
      <w:r>
        <w:rPr>
          <w:b/>
        </w:rPr>
        <w:t>E. 2</w:t>
      </w:r>
    </w:p>
    <w:p>
      <w:r>
        <w:t>Bis 1965 war die Beschwerdeführerin ausschliesslich als Hausfrau tätig. Seit der Ehetrennung erhält sie von ihrem Ehemann monatliche Unterhaltsbeiträge von 500 Franken. Dieser Betrag liegt offensichtlich unter dem betreibungsrechtlichen Existenzminimum einer - in Bern wohnenden - alleinstehenden Person. Den Notbedarf erreicht die Versicherte selbst dann nicht, wenn man zu den Unterhaltsbeiträgen noch die Einnahmen von Fr. 180.-- aus der Vermietung eines Zimmers rechnet. X. Köchli wäre also zufolge ihrer prekären wirtschaftlichen Verhältnisse genötigt, einer Erwerbstätigkeit nachzugehen, um ihren Lebensunterhalt bestreiten zu können. Wegen ihrer Leiden ist sie dazu aber ausserstande. Immerhin arbeitet sie seit der Ehetrennung zeitweise als Haushilfe, doch ist sie nur beschränkt einsatzfähig mit dem Ergebnis, dass sie in den letzten drei Jahren nie mehr als ein monatliches Entgelt von rund 30 bis 85 Franken erreichte. BGE 98 V 262 S. 265 Demnach muss die Beschwerdeführerin für die Belange der Invaliditätsbemessung als Erwerbstätige behandelt werden, weshalb ihr Invaliditätsgrad sich mittels des Einkommensvergleichs gemäss Art. 28 Abs. 2 IVG bestimmt.</w:t>
      </w:r>
    </w:p>
    <w:p>
      <w:r>
        <w:rPr>
          <w:b/>
        </w:rPr>
        <w:t>E. 3</w:t>
      </w:r>
    </w:p>
    <w:p>
      <w:r>
        <w:t>Im Jahre 1971 erzielte die Beschwerdeführerin als Haushilfe ein Erwerbseinkommen von 1000 Franken. Zusammen mit den Mietzinseinnahmen von rund 2000 Franken erreichten ihre Einkünfte somit den Betrag von 3000 Franken. Diese Summe ist mit dem Einkommen zu vergleichen, das sie ohne Invalidität mutmasslich zu erreichen vermöchte. Nach Art. 26 Abs. 1 IVV entspricht das ohne Invalidität erzielbare Erwerbseinkommen eines Versicherten, der - wie X. Köchli - wegen seiner Invalidität keine zureichenden beruflichen Kenntnisse erwerben konnte, in der Regel dem durchschnittlichen Einkommen gelernter und angelernter Berufsarbeiter. Dieses belief sich 1971 auf Fr. 19 100.--. Im vorliegenden Fall ist dieses Einkommen voll einzusetzen, weil eine getrennt lebende, kinderlose Ehefrau imstande ist, während des ganzen Tages einer Erwerbstätigkeit nachzugehen. Wird das Invalideneinkommen von 3000 Franken zum hypothetischen Einkommen von 19 100 Franken in Beziehung gesetzt, so resultiert ein weit über zwei Drittel liegender Invaliditätsgrad. Die Beschwerdeführerin hat daher Anspruch auf eine ganze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