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220</w:t>
      </w:r>
    </w:p>
    <w:p>
      <w:r>
        <w:t>Bundesgericht (BGE), 1972-10-19, DE</w:t>
      </w:r>
    </w:p>
    <w:p>
      <w:r>
        <w:rPr>
          <w:b/>
        </w:rPr>
        <w:t xml:space="preserve">Quelle: </w:t>
      </w:r>
      <w:r>
        <w:t>https://mcp.opencaselaw.ch/entscheid/bge_BGE_98_V_220</w:t>
      </w:r>
    </w:p>
    <w:p>
      <w:r>
        <w:t>FR: ATF 98 V 220</w:t>
      </w:r>
    </w:p>
    <w:p>
      <w:r>
        <w:t>IT: DTF 98 V 220</w:t>
      </w:r>
    </w:p>
    <w:p>
      <w:pPr>
        <w:pStyle w:val="Heading2"/>
      </w:pPr>
      <w:r>
        <w:t>Regeste</w:t>
      </w:r>
    </w:p>
    <w:p>
      <w:r>
        <w:t>Regeste Art. 55 VwG. Aufschiebende Wirkung der Beschwerde: Voraussetzungen des Entzugs dieser Wirkung.</w:t>
      </w:r>
    </w:p>
    <w:p>
      <w:r>
        <w:t>Regeste Art. 55 LPA. Effet suspensif du recours: Conditions du retrait de cet effet.</w:t>
      </w:r>
    </w:p>
    <w:p>
      <w:r>
        <w:t>Regesto Art. 55 PAF. Effetto sospensivo del ricorso: Presupposti della revocazione di tale effetto.</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Gebiete der Sozialversicherung. Hinsichtlich des Begriffes der mit Verwaltungsgerichtsbeschwerde anfechtbaren Verfügungen verweist Art. 97 OG auf Art. 5 des Bundesgesetzes über das Verwaltungsverfahren. Nach Art. 5 Abs. 1 VwG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VwG auch Zwischenverfügungen sein, insoweit sie den Anforderungen des vorangehenden ersten Absatzes entsprechen. Zudem verweist Art. 5 Abs. 2 VwG bezüglich der Zwischenverfügungen auf Art. 45 des gleichen Gesetzes. Diese Bestimmung enthält die weitere Einschränkung, dass nur solche Zwischenverfügungen anfechtbar sind, die einen nicht wieder gutzumachenden Nachteil bewirken können BGE 98 V 220 S. 221 (Art. 45 Abs. 1 VwG). Dieser grundsätzliche Vorbehalt gilt als Voraussetzung für die Zulässigkeit eines selbständigen, der Endverfügung vorangehenden Beschwerdeverfahrens, insbesondere für alle in Art. 45 Abs. 2 VwG - nicht abschliessend - aufgezählten Zwischenverfügungen ( BGE 97 V 248 , BGE 97 I 478 , 96 I 294/295; GYGI, Verwaltungsrechtspflege und Verwaltungsverfahren im Bund, S. 90). Für das letztinstanzliche Beschwerdeverfahren ist ferner zu beachten, dass gemäss Art. 129 Abs. 2 in Verbindung mit Art. 101 lit. a OG die Verwaltungsgerichtsbeschwerde gegen Zwischenverfügungen nur zulässig ist, wenn sie auch gegen die Endverfügung offensteht; dies trifft hier zu ( Art. 98 lit. b OG ). Das Eidg. Versicherungsgericht hat daher auf die Verwaltungsgerichtsbeschwerde nur dann einzutreten, wenn die angefochtene Zwischenverfügung einen irreversiblen Nachteil bringen kann.</w:t>
      </w:r>
    </w:p>
    <w:p>
      <w:r>
        <w:rPr>
          <w:b/>
        </w:rPr>
        <w:t>E. 2</w:t>
      </w:r>
    </w:p>
    <w:p>
      <w:r>
        <w:t>Entgegen der Auffassung der Vorinstanz kann nicht behauptet werden, eine - auch nur vorübergehende - Streichung in der Spezialitätenliste (SL) sei für die betroffene Firma wirtschaftlich belanglos. Zwar könnte man sich auf den Standpunkt stellen, nach erfolgter Streichung komme es nicht mehr so sehr darauf an, ob diese gegebenenfalls vorzeitig oder erst durch den Entscheid in der materiellen Streitsache aufgehoben wird. Dabei wird indessen übersehen, dass bis zur Urteilsfällung wegen oft umfangreicher Beweiserhebungen viel Zeit verstreichen kann und die wirtschaftlichen Folgen unter Umständen bedeutend, ja sogar nicht wieder gutzumachend sein können. Es ist im vorliegenden Fall nach den Ausführungen der Beschwerdeführerin nicht ausgeschlossen, dass dies zutreffen würde. Auf die Verwaltungsgerichtsbeschwerde ist daher einzutreten.</w:t>
      </w:r>
    </w:p>
    <w:p>
      <w:r>
        <w:rPr>
          <w:b/>
        </w:rPr>
        <w:t>E. 3</w:t>
      </w:r>
    </w:p>
    <w:p>
      <w:r>
        <w:t>Die vorliegende Verwaltungsgerichtsbeschwerde richtet sich gegen die Zwischenverfügung des Eidgenössischen Departementes des Innern, worin das Begehren um Wiederherstellung der aufschiebenden Wirkung abgewiesen wird. Da keine Versicherungsleistungen streitig sind, hat das Eidg. Versicherungsgericht nur zu prüfen, ob die Vorinstanz Bundesrecht verletzt hat, einschliesslich Überschreitung oder Missbrauch des Ermessens, oder ob der rechtserhebliche Sachverhalt unrichtig oder unvollständig festgestellt worden ist (Art. 132 in Verbindung mit Art. 104 lit. a und b sowie Art. 105 Abs. 1 OG ). BGE 98 V 220 S. 222</w:t>
      </w:r>
    </w:p>
    <w:p>
      <w:r>
        <w:rPr>
          <w:b/>
        </w:rPr>
        <w:t>E. 4</w:t>
      </w:r>
    </w:p>
    <w:p>
      <w:r>
        <w:t>Zu entscheiden ist, ob der Entzug der Suspensivwirkung rechtmässig erfolgte. Es ist Aufgabe der nach Art. 55 VwG zuständigen Behörde, zu prüfen, ob die Gründe, die für die sofortige Vollstreckbarkeit der Verfügung sprechen, gewichtiger sind als jene, die für die gegenteilige Lösung angeführt werden können. Dabei verfügt die Behörde, wie das Bundesgericht im Urteil vom 23. Juli 1971 i.S. E.Z. (Erw. 3 am Schluss) erkannt hat, über einen gewissen Beurteilungsspielraum. Im allgemeinen wird sie ihren Entscheid auf den Sachverhalt gründen,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Zweifelsfalle sind sie ausser acht zu lassen, da die Hauptsache selbst noch nicht abgeklärt zu werden braucht (Urteil des Bundesgerichts vom 14. Februar 1972 i.S. Milchgenossenschaft Schwadernau, Erw. 4). In einem bei IMBODEN (Schweizerische Verwaltungsrechtsprechung II, Nr. 635, S. 686 f.) wiedergegebenen Fall stellte das zürcherische Verwaltungsgericht zur Beurteilung der Frage, ob der Suspensiveffekt zu entziehen sei, auf die schwere Gefährdung der geschützten Güter ab; wo es an einer solchen fehle, sei der Beschwerde die aufschiebende Wirkung zuzuerkennen. Dieser Standpunkt verdient Beachtung vor allem deswegen, weil der Entzug des Suspensiveffekts gegenüber den belastenden Gestaltungsverfügungen regelmässig eine vorzeitige Zustandsänderung für den Betroffenen eintreten lässt, ohne dass die verfügungsweise angeordnete Massnahme im Hinblick auf eingelegte Rechtsmittel bereits materiell rechtskräftig geworden wäre. Auch wenn der Betroffene keinen Anspruch auf die Beibehaltung des bisherigen Zustandes im Sinne eines wohlerworbenen Rechts besitzt, soll er ohne objektive Notwendigkeit durch die Verweigerung der Aufschubwirkung nicht vor Abschluss des ordentlichen Rechtsmittelverfahrens in seiner Situation verändert werden. Diese Betrachtungsweise verhindert zudem, dass die Beurteilung der Frage, ob einer Beschwerde die aufschiebende Wirkung zu entziehen sei, vornehmlich unter dem Gesichtspunkt tangierter wirtschaftlicher Interessen vorgenommen wird. Sie ist insbesondere dann am Platz, wenn das Gesetz einer Beschwerde grundsätzlich aufschiebende BGE 98 V 220 S. 223 Wirkung zuerkennt (Art. 55 Abs. 1 VwG). Die verfügende Behörde wird in einem solchen Fall überzeugende Gründe geltend machen müssen, um die aufschiebende Wirkung zu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