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202</w:t>
      </w:r>
    </w:p>
    <w:p>
      <w:r>
        <w:t>Bundesgericht (BGE), 1972-07-11, DE</w:t>
      </w:r>
    </w:p>
    <w:p>
      <w:r>
        <w:rPr>
          <w:b/>
        </w:rPr>
        <w:t xml:space="preserve">Quelle: </w:t>
      </w:r>
      <w:r>
        <w:t>https://mcp.opencaselaw.ch/entscheid/bge_BGE_98_V_202</w:t>
      </w:r>
    </w:p>
    <w:p>
      <w:r>
        <w:t>FR: ATF 98 V 202</w:t>
      </w:r>
    </w:p>
    <w:p>
      <w:r>
        <w:t>IT: DTF 98 V 202</w:t>
      </w:r>
    </w:p>
    <w:p>
      <w:pPr>
        <w:pStyle w:val="Heading2"/>
      </w:pPr>
      <w:r>
        <w:t>Regeste</w:t>
      </w:r>
    </w:p>
    <w:p>
      <w:r>
        <w:t>Regeste Art. 42 Abs. 4 AHVG. Wo der Übergang von einer ordentlichen zur ausserordentlichen Rente - oder umgekehrt - in Frage steht, ist die Anspruchsberechtigung jeweils von Grund auf neu zu prüfen. Art. 1 Abs. 1 lit. a AHVG. Ob jemand seinen Wohnsitz im Inland oder im Ausland habe, beurteilt sich nach den Art. 23 ff. ZGB.</w:t>
      </w:r>
    </w:p>
    <w:p>
      <w:r>
        <w:t>Regeste Art. 42 al. 4 LAVS. S'agissant de la succession d'une rente extraordinaire à une rente ordinaire - ou vice-versa -, l'existence même du droit à la rente doit être réexaminée à fond. Art. 1er al. 1er lit. a LAVS. La question de savoir si une personne est domiciliée en Suisse ou à l'étranger doit être examinée au regard des art. 23 ss CC.</w:t>
      </w:r>
    </w:p>
    <w:p>
      <w:r>
        <w:t>Regesto Art. 42 cpv. 4 LAVS. Trattandosi della successione di una rendita straordinaria a quella ordinaria - o vice-versa - occorre ogni volta riaccertare l'esistenza del diritto alla rendita stessa. Art. 1 cpv. 1 lit. a LAVS. La questione se una persona ha domicilio in Svizzera o all'estero va risolta giusta gli art. 23 ss CC.</w:t>
      </w:r>
    </w:p>
    <w:p>
      <w:pPr>
        <w:pStyle w:val="Heading2"/>
      </w:pPr>
      <w:r>
        <w:t>Erwägungen</w:t>
      </w:r>
    </w:p>
    <w:p>
      <w:r>
        <w:rPr>
          <w:b/>
        </w:rPr>
        <w:t>E. 1</w:t>
      </w:r>
    </w:p>
    <w:p>
      <w:r>
        <w:t>Ist eine ordentliche Teilrente kleiner als die ausserordentliche Rente, so erhält der Versicherte kraft des Art. 42 Abs. 4 AHVG die höhere ausserordentliche Rente, wenn und solange er die wirtschaftlichen Voraussetzungen für den Bezug dieser Rentenart erfüllt. Gestützt auf jene Bestimmung hat die Ausgleichskasse mit Verfügung vom 8. Juni 1967 die am 11. Mai zuvor zugesprochene ordentliche Teilrente durch eine ausserordentliche Rente und später mit Verfügung vom 17. November 1971 die am 8. Juni 1967 zugesprochene ausserordentliche Rente durch eine ordentliche Teilrente ersetzt. Bei solchen Rentenänderungen wird jeweils der frühere Verwaltungsakt aufgehoben und ist der weitere Anspruch auf eine Rente von Grund auf neu zu prüfen. Deshalb war die Ausgleichskasse grundsätzlich weder an ihre frühere Sachverhaltsfeststellung gebunden noch an ihre frühere Beurteilung der rechtlichen Vorfrage, wie lange Ernst Kaiser noch Wohnsitz in der Schweiz gehabt hatte und somit nach Art. 1 Abs. 1 lit. a AHVG obligatorisch versichert geblieben war. Entgegen der Ansichtdes Bundesamtes für Sozialversicherung stellt sich daher nicht die Frage, ob die Kasse einen offensichtlich falschen frühern Verwaltungsakt zu widerrufen oder dem Versicherten wohlerworbene Rechte zu erhalten habe.</w:t>
      </w:r>
    </w:p>
    <w:p>
      <w:r>
        <w:rPr>
          <w:b/>
        </w:rPr>
        <w:t>E. 2</w:t>
      </w:r>
    </w:p>
    <w:p>
      <w:r>
        <w:t>Im vorliegenden Fall richtet sich die ab Januar 1971 geschuldete ordentliche Witwenrente nach der Rentenskala 9, falls Ernst Kaiser seinen inländischen zivilrechtlichen Wohnsitz bis Dezember 1951 beibehalten und so eine vierjährige Beitragsdauer aufgewiesen hatte ( Art. 1 Abs. 1 lit. a AHVG in Verbindung mit Art. 3 Abs. 1 AHVG , Fassung vom 20. Dezember 1946). Ob jemand seinen zivilrechtlichen Wohnsitz im Inland oder im Ausland habe, beurteilt sich für die hiesigen Behörden nach dem schweizerischen Zivilgesetzbuch. Laut diesem hat eine Person ihren Wohnsitz an dem Ort, den sie zum Mittelpunkt ihres Daseins macht (Art. 23), und bleibt er an jenem Ort, solange sie nicht anderswo einen neuen Wohnsitz begründet (Art. 24 Abs. 1). Das Eidg. Versicherungsgericht verweist auf EVGE 1957 S. 97 Erw. 2 und 1958 S. 96 sowie auf sein unveröffentlichtes Urteil vom 23. Dezember 1966 i.S. Holzer, Erw. 2. BGE 98 V 202 S. 205 Ernst Kaiser war im April 1951 unter dem angeblichen Vorwand, er fahre nach Basel zum Besuch der Mustermesse, nach Kanada verreist. Damals war der Ausgleichskasse keineswegs bekannt, wann und in welcher kanadischen Ortschaft er Arbeit und Unterkunft finden und dergestalt einen neuen Wohnsitz begründen werde. Bei der erstmaligen Prüfung der Wohnsitzfrage im Frühjahr 1967 hätte die Kasse den Tatbestand allenfalls genauer abklären können. Weil sich das heute nicht mehr nachholen lässt, muss auf den damals ermittelten Sachverhalt abgestellt werden. Dieser bietet aber keinen Anlass zur Abweichung von dem rechtlich vertretbaren ursprünglichen Schluss der Ausgleichskasse, Ernst Kaisers schweizerischer Wohnsitz habe noch bis Dezember 1951 fortgedauert. Aus diesem Grunde kann der Rentenverfügung vom 17. November 1971 nicht beigepflichtet werden. Die Kasse hat die ab Januar 1971 geschuldete ordentliche Teilrente nach der Renten skala 9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