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186</w:t>
      </w:r>
    </w:p>
    <w:p>
      <w:r>
        <w:t>Bundesgericht (BGE), 1972-08-31, DE</w:t>
      </w:r>
    </w:p>
    <w:p>
      <w:r>
        <w:rPr>
          <w:b/>
        </w:rPr>
        <w:t xml:space="preserve">Quelle: </w:t>
      </w:r>
      <w:r>
        <w:t>https://mcp.opencaselaw.ch/entscheid/bge_BGE_98_V_186</w:t>
      </w:r>
    </w:p>
    <w:p>
      <w:r>
        <w:t>FR: ATF 98 V 186</w:t>
      </w:r>
    </w:p>
    <w:p>
      <w:r>
        <w:t>IT: DTF 98 V 186</w:t>
      </w:r>
    </w:p>
    <w:p>
      <w:pPr>
        <w:pStyle w:val="Heading2"/>
      </w:pPr>
      <w:r>
        <w:t>Regeste</w:t>
      </w:r>
    </w:p>
    <w:p>
      <w:r>
        <w:t>Regeste Art. 4 AHVG. Schulderlass bildet kein der Beitragspflicht unterliegendes Erwerbseinkommen, ausser wenn er eine Gegenleistung für üblicherweise entgeltliche Tätigkeit des Schuldners im Interesse des Gläubigers darstellt. Art. 23 Abs. 4 AHVV. Die rechtskräftige Steuerveranlagung bindet die AHV-Organe hinsichtlich der beitragsrechtlichen Qualifikation des Schulderlasses nicht.</w:t>
      </w:r>
    </w:p>
    <w:p>
      <w:r>
        <w:t>Regeste Art. 4 LAVS. Une remise de dette ne constitue pas un revenu du travail soumis à cotisations, sauf si elle tient lieu de contreprestation pour une activité habituellement rémunérée du débiteur dans l'intérêt de son créancier. Art. 23 al. 4 RAVS. La taxation fiscale définitive ne lie pas les organes de l'AVS, s'agissant des effets juridiques de la remise de dette en matière de cotisations.</w:t>
      </w:r>
    </w:p>
    <w:p>
      <w:r>
        <w:t>Regesto Art. 4 LAVS. Il condono di un debito non costituisce reddito del lavoro imponibile ai fini dell'obbligo contributivo, eccetto che sia la contropartita d'una attività solitamente rimunerata del debitore nell'interesse del creditore. Art. 23 cpv. 4 OAVS. Trattandosi degli effetti del condono in diritto contributivo, la tassazione fiscale definitiva non vincola gli organi dell'AVS.</w:t>
      </w:r>
    </w:p>
    <w:p>
      <w:pPr>
        <w:pStyle w:val="Heading2"/>
      </w:pPr>
      <w:r>
        <w:t>Erwägungen</w:t>
      </w:r>
    </w:p>
    <w:p>
      <w:r>
        <w:rPr>
          <w:b/>
        </w:rPr>
        <w:t>E. 1</w:t>
      </w:r>
    </w:p>
    <w:p>
      <w:r>
        <w:t>Streitig ist im vorliegenden Verfahren zunächst die Frage, ob Schulden eines Selbständigerwerbenden, auf deren Eintreibung der Gläubiger rechtswirksam verzichtet (Forderungsverzicht bzw. Schulderlass), zu dem der Beitragspflicht gemäss Art. 4, 8 und 9 AHVG unterliegenden Erwerbseinkommen gehören. Das ist eine im Verwaltungsgerichtsbeschwerde-Verfahren vom Gericht frei überprüfbare Rechtsfrage (Art. 104 in Verbindung mit Art. 132 OG ); denn es geht - im Unterschied zur tatbeständlichen Frage nach der Höhe des Einkommens - um den Umfang der Beitragspflicht, im besonderen um die Auslegung des bundesrechtlichen Begriffes des für die sozialversicherungsrechtliche Beitragspflicht massgebenden Erwerbseinkommens.</w:t>
      </w:r>
    </w:p>
    <w:p>
      <w:r>
        <w:rPr>
          <w:b/>
        </w:rPr>
        <w:t>E. 2</w:t>
      </w:r>
    </w:p>
    <w:p>
      <w:r>
        <w:t>a) Die Ermittlung des für die Berechnung der Beiträge massgebenden Erwerbseinkommens obliegt gemäss Art. 23 Abs. 1 AHVV den kantonalen Steuerbehörden; diese melden der Ausgleichskasse das Erwerbseinkommen auf Grund der rechtskräftigen Wehrsteuerveranlagung und das im Betrieb des Selbständigerwerbenden investierte Eigenkapital auf Grund der entsprechenden rechtskräftigen kantonalen Veranlagung. Die diesbezüglichen Angaben der Steuerbehörden sind für die Ausgleichskassen im Beitragsfestsetzungsverfahren verbindlich ( Art. 23 Abs. 4 AHVV ). Demgemäss begründet nach der ständigen Rechtsprechung des Eidg. Versicherungsgerichts jede rechtskräftige Steuerveranlagung die nur mit Tatsachen widerlegbare Vermutung, dass sie der Wirklichkeit entspreche. Der Sozialversicherungsrichter hat daher die Kassenverfügung grundsätzlich nur auf ihre Gesetzmässigkeit zu überprüfen und darf von rechtskräftigen Steuertaxationen nur dann abweichen, wenn diese klar ausgewiesene Irrtümer enthalten, die ohne weiteres richtiggestellt werden können, oder wenn sachliche Umstände zu würdigen sind, die steuerrechtlich belanglos, sozialversicherungsrechtlich aber bedeutsam sind (BGE 98 V I 8 Erw. 2, EVGE 1969 S. 136 und 145, 1968 S. 42; ZAK 1970 S. 398, 1969 S. 65 und 734 ff. sowie das nicht veröffentlichte Urteil vom 22. März 1972 i.S. Oschwald). b) Ein solcher Umstand, der wehrsteuerrechtlich als belanglos, sozialversicherungsrechtlich jedoch als bedeutsam erscheint, BGE 98 V 186 S. 189 ist die Frage, ob eine Einnahme Erwerbseinkommen im Sinne der AHV-Gesetzgebung ist oder nicht; denn das Steuerobjekt des Wehrsteuerrechts ist nicht identisch mit dem Beitragsobjekt gemäss AHVG. Der Wehrsteuer unterliegt laut Art. 21 Abs. 1 WStB das gesamte Einkommen eines Steuerpflichtigen aus Erwerbstätigkeit, Vermögensertrag oder andern Einnahmequellen, insbesondere aus den unter den Buchstaben a-f genannten Quellen (vgl. BGE 96 I 657 Erw. 1). Dagegen sind Sozialversicherungsbeiträge nur vom Einkommen aus Erwerbstätigkeit geschuldet. Im Hinblick auf Art. 21 WStB konnte der Beschwerdeführer die Frage, ob es sich um Erwerbseinkommen handle oder nicht, im Steuereinspracheverfahren - weil für dessen Ausgang belanglos - nicht zur Diskussion stellen. Somit präjudiziert die wehrsteuerrechtliche Erfassung des fraglichen Schulderlasses die beitragsrechtliche Qualifikation dieses Veranlagungsfaktors nicht (vgl. sinngemäss BGE 97 V 30 , BGE 96 V 61 , EVGE 1966 S. 208).</w:t>
      </w:r>
    </w:p>
    <w:p>
      <w:r>
        <w:rPr>
          <w:b/>
        </w:rPr>
        <w:t>E. 3</w:t>
      </w:r>
    </w:p>
    <w:p>
      <w:r>
        <w:t>a) Die Beiträge der erwerbstätigen Versicherten werden in Prozenten des Einkommens aus unselbständiger bzw. selbständiger Erwerbstätigkeit festgesetzt ( Art. 4 AHVG ). Nach der Rechtsprechung sind jene Einkünfte zum Erwerbseinkommen gemäss Art. 4 AHVG und Art. 6 Abs. 1 AHVV zu zählen, die einem Versicherten aus einer Tätigkeit zufliessen und dadurch seine wirtschaftliche Leistungsfähigkeit erhöhen ( BGE 97 V 28 ). Art. 6 Abs. 2 AHVV nennt Einkünfte, die im Sinne von Ausnahmen nicht zum Erwerbseinkommen gehören; der Schulderlass wird dort nicht erwähnt. Die Aufzählung ist jedoch nicht abschliessend (EVGE 1955 S. 172 = ZAK 1956 S. 36). Art. 9 Abs. 1 AHVG zählt zum Einkommen aus selbständiger Erwerbstätigkeit "jedes Erwerbseinkommen, das nicht Entgelt für in unselbständiger Stellung geleistete Arbeit darstellt". Unter dem Marginale "Begriff des Einkommens aus selbständiger Erwerbstätigkeit" nennt Art. 17 AHVV u.a. "eingetretene und verbuchte Wertvermehrungen und Kapitalgewinne von zur Führung kaufmännischer Bücher verpflichteten Unternehmungen" (Buchstabe d). b) Die Frage, ob der Erlass von Geschäftsschulden Erwerbseinkommen im Sinne dieser Bestimmungen darstelle, kann nicht generell beantwortet werden. Es ist durchaus denkbar, dass der Erlass die Gegenleistung für eine üblicherweise entgeltliche BGE 98 V 186 S. 190 Tätigkeit des Schuldners im Interesse des verzichtenden Gläubigers ausdrückt; wirtschaftlich betrachtet, wäre in solcher Lage wohl Erwerbseinkommen im Umfange des Erlasses anzunehmen. Indessen bestehen im konkreten Fall keine aktenmässigen Anhaltspunkte für einen derartigen Leistungscharakter des Erlasses. Zwar steht dieser in unmittelbarem Zusammenhang mit der Geschäftstätigkeit des Beschwerdeführers, aber er ist offensichtlich nicht Entgelt für diese Tätigkeit. Der verzichtende Gläubiger ist ein Warenlieferant des Beschwerdeführers. Sein Guthaben war infolge Zahlungsverzuges des Schuldners auf über Fr. 90 000.-- angestiegen und erschien als teilweise uneinbringlich. Diese Einsicht und die Erstellung eines realistischen Amortisationsplanes für die Restschuld dürften Motive des Erlasses gewesen sein. Die rund Fr. 12 000.-- Verzugszinse, die dem Beschwerdeführer 1966 nachgelassen worden sind, stellen offenbar keinen Erlass im schuldrechtlichen Sinne dar; es handelt sich vielmehr um eine buchmässige Berichtigung im Abrechnungsverhältnis des Beschwerdeführers zum gleichen Gläubiger. Beitragsrechtlich ist dieser Vorgang unbeachtlich. Somit kann nicht gesagt werden, die im Geschäftsabschluss erfolgswirksame Verminderung der Kreditorenschulden des Beschwerdeführers infolge Schulderlasses bzw. Buchberichtigung von insgesamt Fr. 62 000.-- in der Berechnungsperiode 1965/66 sei Einkommen aus Erwerbstätigkeit im Sinne der massgebenden Bestimmungen der AHV-Gesetzgebung. Es entspräche auch keineswegs dem Sinn und Zweck dieser Gesetzgebung, wenn mit bloss buchmässig ausgewiesenem Einkommen oder auf der Basis von Schulden höhere Sozialversicherungsrenten finanziert werden könnten. Trotz Zahlung der entsprechenden Beiträge würden diese in keiner Weise die ihrer Bemessung zugrunde liegenden realen erwerbswirtschaftlichen Vorgänge widerspiegeln, was gemäss Art. 4 AHVG als unzulässig zu gelten hat. In Gutheissung der Verwaltungsgerichtsbeschwerde sind daher der vorinstanzliche Entscheid und die angefochtene Beitragsverfügung aufzuheben; die Ausgleichskasse ist anzuweisen, eine neue Verfügung für die ordentliche Beitragsperiode 1968/69 zu erlassen, inwelcher der Schulderlass von Fr. 50 000.-- 1965 und von Fr. 11 873.-- 1966 nicht zu dem für die Beitragspflicht massgebenden Erwerbseinkommen gezählt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