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158</w:t>
      </w:r>
    </w:p>
    <w:p>
      <w:r>
        <w:t>Bundesgericht (BGE), 1972-09-07, DE</w:t>
      </w:r>
    </w:p>
    <w:p>
      <w:r>
        <w:rPr>
          <w:b/>
        </w:rPr>
        <w:t xml:space="preserve">Quelle: </w:t>
      </w:r>
      <w:r>
        <w:t>https://mcp.opencaselaw.ch/entscheid/bge_BGE_98_V_158</w:t>
      </w:r>
    </w:p>
    <w:p>
      <w:r>
        <w:t>FR: ATF 98 V 158</w:t>
      </w:r>
    </w:p>
    <w:p>
      <w:r>
        <w:t>IT: DTF 98 V 158</w:t>
      </w:r>
    </w:p>
    <w:p>
      <w:pPr>
        <w:pStyle w:val="Heading2"/>
      </w:pPr>
      <w:r>
        <w:t>Regeste</w:t>
      </w:r>
    </w:p>
    <w:p>
      <w:r>
        <w:t>Regeste Art. 23 KUVG. Rückforderungsanspruch einer Krankenkasse wegen Überarztung.</w:t>
      </w:r>
    </w:p>
    <w:p>
      <w:r>
        <w:t>Regeste Art. 23 LAMA. Droit d'une caisse-maladie d'exiger la restitution d'une partie des honoraires versés au médecin qut surfait, en moyenne, le prix de ses traitements.</w:t>
      </w:r>
    </w:p>
    <w:p>
      <w:r>
        <w:t>Regesto Art. 23 LAMI. Diritto d'una cassa-malati di ripetere parte degli onorari versati al medico che esagera il prezzo medio delle sue cure.</w:t>
      </w:r>
    </w:p>
    <w:p>
      <w:pPr>
        <w:pStyle w:val="Heading2"/>
      </w:pPr>
      <w:r>
        <w:t>Erwägungen</w:t>
      </w:r>
    </w:p>
    <w:p>
      <w:r>
        <w:rPr>
          <w:b/>
        </w:rPr>
        <w:t>E. 1</w:t>
      </w:r>
    </w:p>
    <w:p>
      <w:r>
        <w:t>Da im vorliegenden Fall nicht die Bewilligung oder Verweigerung von Versicherungsleistungen zur Diskussion steht, hat das Eidg. Versicherungsgericht nur zu prüfen, ob der angefochtene Entscheid auf Verletzung von Bundesrecht, einschliesslich Überschreitung oder Missbrauch des Ermessens, beruhe ( Art. 104 OG ). Die vorinstanzliche Sachverhaltsfeststellung bindet das Eidg. Versicherungsgericht, wenn sie nicht offensichtlich unrichtig, unvollständig oder unter Verletzung wesentlicher Verfahrensbestimmungen erfolgt ist ( Art. 105 OG ).</w:t>
      </w:r>
    </w:p>
    <w:p>
      <w:r>
        <w:rPr>
          <w:b/>
        </w:rPr>
        <w:t>E. 2</w:t>
      </w:r>
    </w:p>
    <w:p>
      <w:r>
        <w:t>Im Sachverhalt und weitgehend auch in den Einwendungen des Beschwerdeführers gegenüber der Betriebskrankenkasse und dem schiedsgerichtlichen Entscheid unterscheidet sich der heutige Prozess grundsätzlich nicht vom Verfahren vor dem Eidg. Versicherungsgericht, das zum Urteil vom 31. Dezember 1969 geführt hat. Auch damals stand die Frage der Überarztung zur Diskussion und wurde unter anderem geltend gemacht, der statistische Kostenvergleich sei unhaltbar und der kantonale Richter habe das rechtliche Gehör von Dr. X. verletzt, indem er diesem nicht Gelegenheit gegeben habe, zum Beweisverfahren Stellung zu nehmen. Zum Einwand, es könne nicht durch einen Kostenvergleich nachgewiesen werden, dass Dr. X. gegen das in Art. 23 KUVG verankerte Gebot wirtschaftlicher Behandlungsweise verstossen habe, hat das Gericht schon in seinem ersten Urteil erklärt, BGE 98 V 158 S. 161 dass der statistische Vergleich der durchschnittlichen Behandlungskosten des Beschwerdeführers mit denjenigen anderer Ärzte jedenfalls dann nicht willkürlich sei, wenn sich das Vergleichsmaterial hinreichend ähnlich zusammensetze und der Vergleich sich über einen genügend langen Zeitraum erstrecke. Dann würden sich nämlich bloss zufällige Unterschiede mehr oder weniger ausgleichen. Wenn zudem von den Fachleuten des Schiedsgerichts ein als eher bescheiden bezeichneter Teil von zuviel berechneten Arzt- und Medikamentenkosten als rückerstattungspflichtig beurteilt werde, so sei noch vermehrt gewährleistet, dass das Ergebnis des Beweisverfahrens nicht willkürlich sei. Und wenn überdies die fachlich geprüften Krankenscheine mit dem statistischen Ergebnis im wesentlichen übereinstimmten, so könne die vom Schiedsgericht angewandte Beweismethode um so weniger als willkürlich bezeichnet werden. Diese beweisrechtlichen Überlegungen gelten auch im vorliegenden Fall, denn die Ausführungen in der neuen Verwaltungsgerichtsbeschwerde vermögen nicht zu einer Änderung der Rechtsprechung zu führen. Somit hat es in diesem Punkt beim angefochtenen Entscheid sein Bewenden. Auch der Einwand, dass der Sachverhalt deshalb willkürlich und unter Verletzung des rechtlichen Gehörs festgestellt worden sei, weil das Schiedsgericht den Beschwerdeführer nicht zum Beweisverfahren habe Stellung nehmen lassen, ist wiederum nicht stichhaltig. Zunächst kann keine Rede davon sein, dass eine Partei Anspruch darauf hat, das Ergebnis der richterlichen Beweiswürdigung zu diskutieren. Art. 68 des Verwaltungsrechtspflegegesetzes des Kantons St. Gallen schreibt denn auch nur vor, es sei den Parteien Gelegenheit zu geben, zum Resultat des Beweisverfahrens sich zu äussern. Im vorliegenden Fall kannte Dr. X. alle von der Betriebskrankenkasse vorinstanzlich eingelegten Beweismittel. Das Gericht selber hat von sich aus keine Beweismassnahmen getroffen, von deren Ergebnis dem Beschwerdeführer unter Umständen hätte Kenntnis gegeben werden müssen. Dr. X. hatte Gelegenheit, spätestens in der Duplik zur Beweislage sich zu äussern. Die Beweiswürdigung selber - unter Einbezug der Vorbringen in der Duplik - war dann aber ausschliesslich und abschliessend Sache des Schiedsgerichts. Demzufolge kann auch in dieser Hinsicht von willkürlicher Sachverhaltsfeststellung und Verletzung des rechtlichen Gehörs keine Rede sein. BGE 98 V 158 S. 162</w:t>
      </w:r>
    </w:p>
    <w:p>
      <w:r>
        <w:rPr>
          <w:b/>
        </w:rPr>
        <w:t>E. 3</w:t>
      </w:r>
    </w:p>
    <w:p>
      <w:r>
        <w:t>Der Beschwerdeführer macht schliesslich neu geltend, bei einer Rückforderung aus ungerechtfertigter Bereicherung müsse der nachträglich weggefallene Grund konkret nachgewiesen und es dürfe nicht einfach auf Vergleichsschlüsse abgestellt werden. Er übersieht dabei, dass ein Rückforderungsgrund immer dann gegeben ist, wenn jemand mehr bezogen bzw. erhalten hat, als ihm rechtens zukommt. Ist ein solcher Sachverhalt einmal erstellt, so muss alsdann das Ausmass der Rückforderung geprüft werden. Bei Verhältnissen, wie sie vorliegend gegeben sind, lässt sich der Tatbestand der Überarztung kaum anders feststellen als durch Vergleich mit Durchschnittszahlen anderer Ärzte; dies in der Meinung, dass es sozialversicherungsmässig ebenso sehr wie auf die einzelne Arztrechnung auf die Summe solcher Rechnungen ankommt. Eine einzelne Rechnung bleibt vielfach erst im Hinblick auf die festgestellte allgemeine Verhaltenstendenz eines Arztes unter dem Gesichtspunkt der Überarztung bewertbar. Überarztung ist deshalb jedenfalls immer auch dann gegeben, wenn eine ins Gewicht fallende Zahl von Rechnungen desselben Arztes an eine Krankenkasse im Vergleich zu den Rechnungen von Ärzten im geographisch gleichen Tätigkeitsbereich und mit etwa gleichem Krankengut im Durchschnitt erheblich höher ist, ohne dass den Durchschnitt beeinflussende Sonderheiten geltend gemacht werden können. Den Nachweis, dass die Forderungen von Dr. X. gegenüber der Betriebskrankenkasse die Rechnungen anderer am Ort bzw. im Rheintal praktizierender Ärzte in erheblicher Weise übersteigen, hat die Beschwerdegegnerin erbracht. Anderseits hat der Beschwerdeführer Sonderheiten im oben erwähnten Sinn nicht nachgewiesen. Demnach hat die Vorinstanz den Sachverhalt auch in dieser Hinsicht nicht offensichtlich mangelhaft festgestellt, weshalb das Eidg. Versicherungsgericht an ihn gebunden ist.</w:t>
      </w:r>
    </w:p>
    <w:p>
      <w:r>
        <w:rPr>
          <w:b/>
        </w:rPr>
        <w:t>E. 4</w:t>
      </w:r>
    </w:p>
    <w:p>
      <w:r>
        <w:t>Beruht demnach der angefochtene Entscheid weder auf einer Bundesrechtsverletzung (einschliesslich Überschreitung oder Missbrauch des Ermessens) noch auf offensichtlich mangelhafter Sachverhaltsfeststellung, so muss die Verwaltungsgerichtsbeschwerde als unbegründet abgewiesen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