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194 vom 1. Januar 1972</w:t>
      </w:r>
    </w:p>
    <w:p>
      <w:r>
        <w:t>Bundesgericht (BGE), 1972-01-01, FR</w:t>
      </w:r>
    </w:p>
    <w:p>
      <w:r>
        <w:rPr>
          <w:b/>
        </w:rPr>
        <w:t xml:space="preserve">Quelle: </w:t>
      </w:r>
      <w:r>
        <w:t>https://mcp.opencaselaw.ch/entscheid/bge_BGE_98_Ib_194</w:t>
      </w:r>
    </w:p>
    <w:p>
      <w:r>
        <w:t>FR: BGE BGE 98 Ib 194 du 1 janvier 1972</w:t>
      </w:r>
    </w:p>
    <w:p>
      <w:r>
        <w:t>IT: BGE BGE 98 Ib 194 del 1 gennaio 1972</w:t>
      </w:r>
    </w:p>
    <w:p>
      <w:pPr>
        <w:pStyle w:val="Heading2"/>
      </w:pPr>
      <w:r>
        <w:t>Regeste</w:t>
      </w:r>
    </w:p>
    <w:p>
      <w:r>
        <w:t>Regeste Art. 35 Abs. 1 VwG. Die Begründung einer Verfügung kann summarisch sein, doch müssen in ihr zumindest die Gründe ersichtlich werden, auf die die Behörde sich gestützt hat (Erw. 2). Art. 42 Ziff. 4 Abs. 2 StGB. Die Behörde muss von Amtes wegen prüfen, ob die Verwahrung nicht mehr nötig ist (Erw. 3).</w:t>
      </w:r>
    </w:p>
    <w:p>
      <w:r>
        <w:t>Regeste Art. 35 al. 1 LPA. Si elle peut être sommaire, la motivation d'une décision administrative doit au moins permettre de saisir les éléments sur lesquels l'autorité s'est fondée (consid. 2). Art. 42 ch. 4 al. 2 CP. L'autorité doit examiner d'office si l'internement ne paraît plus nécessaire (consid. 3).</w:t>
      </w:r>
    </w:p>
    <w:p>
      <w:r>
        <w:t>Regesto Art. 35 cpv. 1 LPA. La motivazione di una decisione amministrativa può essere sommaria, ma vi si deve perlomeno poterne dedurre gli elementi sui quali l'autorità si è fondata (consid. 2). Art. 42 num. 4 cpv. 2 CP. L'autorità deve esaminare d'ufficio se l'internamento non è più necessario (consid. 3).</w:t>
      </w:r>
    </w:p>
    <w:p>
      <w:pPr>
        <w:pStyle w:val="Heading2"/>
      </w:pPr>
      <w:r>
        <w:t>Erwägungen</w:t>
      </w:r>
    </w:p>
    <w:p>
      <w:r>
        <w:rPr>
          <w:b/>
        </w:rPr>
        <w:t>E. 1</w:t>
      </w:r>
    </w:p>
    <w:p>
      <w:r>
        <w:t>(Questions de procédure).</w:t>
      </w:r>
    </w:p>
    <w:p>
      <w:r>
        <w:rPr>
          <w:b/>
        </w:rPr>
        <w:t>E. 2</w:t>
      </w:r>
    </w:p>
    <w:p>
      <w:r>
        <w:t>Le recourant reproche à la décision attaquée d'être arbitraire et insuffisamment motivée. Il se plaint donc implicitement, mais de façon non équivoque, d'une violation de l'art. 35 al. 1 LPA. De façon générale, le Tribunal fédéral considère l'absence de motifs comme un déni de justice formel, lorsqu'une disposition légale prescrit à l'autorité de motiver sa décision (cf. RO 28 I 11 ; 43 I 28 ; 53 I 111 ; 62 I 146 ; 93 I 120 et 702). Il a toutefois jugé que l'on ne saurait exiger des autorités administratives, qui doivent se montrer expéditives et qui sont appelées à prendre de nombreuses décisions, qu'elles les motivent de façon aussi développée qu'une autorité de recours; il suffit que les explications, BGE 98 Ib 194 S. 196 bien que sommaires, permettent de saisir les éléments sur lesquels l'autorité s'est fondée (RO 96 I 608). En l'occurrence, le Conseil d'Etat s'est limité, pour justifier son refus, à faire état du comportement du recourant au pénitencier de Bellechasse. Dans son mémoire du 9 mai 1972, le Ministère public relève que cette motivation devait être parfaitement claire pour l'intéressé; il se réfère à ce sujet au dossier administratif et notamment à la lettre du 18 octobre 1971 du directeur des Etablissements de Bellechasse au Département de justice et police du canton de Vaud. Si la lecture du dossier administratif laisse apparaître que le recourant n'a pas toujours eu - et de loin - une attitude exemplaire, en particulier au Tessin, où il a été interné en premier lieu après sa réintégration et lors de séjours antérieurs à Bellechasse, on ne voit pas en quoi son comportement dans cet établissement, durant la période qui a précédé son transfert à Bochuz, justifierait sans plus la décision attaquée. En effet, dans la lettre précitée du 18 octobre 1971, le recourant est dépeint comme un psychopathe, certes, mais très appliqué, habile de ses mains, se montrant très utile et se faisant remarquer par ses lectures; trois congés lui ont été accordés sans qu'il en résulte de difficultés. En définitive, le seul grief consistant, quant au comportement, a trait aux démarches entreprises par le recourant - qui a entraîné avec lui d'autres détenus - auprès de journaux, de l'auditeur de la Confédération et même du Conseil fédéral, pour se plaindre de l'établissement. Même abusives et dénuées de fondement, ces démarches ne peuvent être considérées à elles seules comme justifiant le refus de la libération conditionnelle. On ne saurait reprocher en effet à un détenu ou à un interné de tout tenter pour améliorer ses conditions d'existence, aussi longtemps qu'il n'use pas de moyens illicites. La décision attaquée est donc insuffisamment motivée et viole ainsi un droit de nature essentiellement formelle; partant, elle doit être annulée, sans que le recourant ait à justifier d'un intérêt (RO 92 I 188, 264 no 45 ; 96 I 22 , 188).</w:t>
      </w:r>
    </w:p>
    <w:p>
      <w:r>
        <w:rPr>
          <w:b/>
        </w:rPr>
        <w:t>E. 3</w:t>
      </w:r>
    </w:p>
    <w:p>
      <w:r>
        <w:t>Quant à l'argument consistant à reprocher au recourant de ne pas invoquer de faits susceptibles de justifier sa libération conditionnelle, il ne résiste pas à l'examen. En effet, l'art. 42 ch. 4 al. 2 CP prescrit à l'autorité, lorsque les conditions de temps sont réunies, d'ordonner la libération conditionnelle "si l'internement ne paraît plus nécessaire". Il s'agit là d'une BGE 98 Ib 194 S. 197 question d'appréciation que l'autorité doit examiner d'office, même si elle a la faculté de le faire avec la plus grande liberté. C'est donc à elle et non à l'interné qu'il incombe de mettre en lumière les éléments qui l'amèneront à prendre sa décision.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