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311 vom 8. März 1972</w:t>
      </w:r>
    </w:p>
    <w:p>
      <w:r>
        <w:t>Bundesgericht (BGE), 1972-03-08, DE</w:t>
      </w:r>
    </w:p>
    <w:p>
      <w:r>
        <w:rPr>
          <w:b/>
        </w:rPr>
        <w:t xml:space="preserve">Quelle: </w:t>
      </w:r>
      <w:r>
        <w:t>https://mcp.opencaselaw.ch/entscheid/bge_BGE_98_Ia_311</w:t>
      </w:r>
    </w:p>
    <w:p>
      <w:r>
        <w:t>FR: BGE BGE 98 Ia 311 du 8 mars 1972</w:t>
      </w:r>
    </w:p>
    <w:p>
      <w:r>
        <w:t>IT: BGE BGE 98 Ia 311 del 8 marzo 1972</w:t>
      </w:r>
    </w:p>
    <w:p>
      <w:pPr>
        <w:pStyle w:val="Heading2"/>
      </w:pPr>
      <w:r>
        <w:t>Regeste</w:t>
      </w:r>
    </w:p>
    <w:p>
      <w:r>
        <w:t>Regeste Deutsch-schweizerisches Vollstreckungsabkommen vom 2. November 1929. Art. 2 Ziff. 3: Begriff der "vorbehaltlosen" Einlassung auf den Rechtsstreit.</w:t>
      </w:r>
    </w:p>
    <w:p>
      <w:r>
        <w:t>Regeste Convention germano-suisse concernant l'exécution des décisions judiciaires, du 2 novembre 1929. Art. 2 ch. 3: quand le défendeur est-il entré en matière "sans réserve" sur le fond du litige?</w:t>
      </w:r>
    </w:p>
    <w:p>
      <w:r>
        <w:t>Regesto Convenzione d'esecuzione 2 novembre 1929 con la Germania. Art. 2 num. 3: quando la parte convenuta è entrata nel merito "senza riserva"?</w:t>
      </w:r>
    </w:p>
    <w:p>
      <w:pPr>
        <w:pStyle w:val="Heading2"/>
      </w:pPr>
      <w:r>
        <w:t>Erwägungen</w:t>
      </w:r>
    </w:p>
    <w:p>
      <w:r>
        <w:rPr>
          <w:b/>
        </w:rPr>
        <w:t>E. 4</w:t>
      </w:r>
    </w:p>
    <w:p>
      <w:r>
        <w:t>Die Beschwerdeführerin beruft sich auf Art. 2 Ziff. 3 des Abkommens, wonach, in Verbindung mit Art. 6, das Urteil des einen Staates im andern Staat zu vollstrecken ist, "wenn der Beklagte sich vorbehaltlos auf den Rechtsstreit eingelassen hatte". Auch diese Voraussetzung ist nicht erfüllt. Da die Trans-Chemie schon zu Beginn des Prozesses formell die Einrede der örtlichen Unzuständigkeit erhoben und das diese Einrede verwerfende Zwischenurteil mit allen zur Verfügung stehenden Rechtsmitteln (erfolglos) angefochten hatte, kann von einer vorbehaltlosen Einlassung offensichtlich keine Rede sein; dass die Beklagte vorsichtshalber auch materiell zum Klagebegehren Stellung nahm, ändert daran nichts. Die von der Beschwerdeführerin hiegegen erhobenen Einwände sind unbehelflich. Entgegen ihrer Auffassung war es nicht notwendig, dass die Trans-Chemie neben der Einrede der BGE 98 Ia 311 S. 313 örtlichen Unzuständigkeit auch noch einen die Vollstreckung des Urteils betreffenden Vorbehalt anbrachte. Ein solcher Vorbehalt wäre nur erforderlich gewesen, wenn die Beklagte auf eine formelle Unzuständigkeitseinrede verzichtet oder die Einrede später zurückgezogen hätte, was nicht zutrifft ( BGE 60 I 132 f., BGE 63 I 17 ff.). Auch aus dem von der Beschwerdeführerin erwähnten BGE 96 I 596 , der eine entsprechende Klausel des italienisch-schweizerischen Vollstreckungsabkommens betrifft, ergibt sich nichts anderes. Dass die formelle Einrede der Unzuständigkeit in jedem Falle genügt, geht im übrigen klar aus dem Sitzungsprotokoll zu Art. 2 Ziff. 3 des deutsch-schweizerischen Abkommens hervor, wo festgestellt wird: "Ein,Vorbehalt'des Beklagten im Sinne dieser Vorschrift liegt nicht nur dann vor, wenn er die formelle Einrede der Unzuständigkeit erhoben hat. Es genügt vielmehr, wenn er in den Fällen, in denen nach dem Rechte des Urteilsstaates die Zuständigkeit des Prozessgerichts begründet ist, vor der Einlassung zu erkennen gibt, dass er sich dem Verfahren nur für den Urteilsstaat unterwerfe und einer Durchführung des Urteils in dem andern Staate widerspreche" (BBl, 1929, III, S. 535). Dass die Beklagte einen im Laufe des Verfahrens ergangenen Kostenfestsetzungsbeschluss des Landgerichtes Hamburg vom 14. April 1969 nicht angefochten und die ihr darin auferlegten Prozesskosten am 14. Mai 1969 bezahlt hat, kann, entgegen der Auffassung der Beschwerdeführerin, nicht als vorbehaltlose Einlassung bzw. als Verzicht auf die Unzuständigkeitseinrede angesehen werden. Schliesslich war es auch nicht notwendig, dass die Trans-Chemie beim Rückzug der gegen das Haupturteil des Landgerichtes Hamburg eingelegten Berufung nochmals einen die Zuständigkeit oder die Vollstreckbarkeit betreffenden Vorbehalt anbrachte, nachdem sie zu Beginn des Prozesses die Zuständigkeit formell bestritten und diese Einrede nie zurückgezogen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