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144 vom 29. März 1972</w:t>
      </w:r>
    </w:p>
    <w:p>
      <w:r>
        <w:t>Bundesgericht (BGE), 1972-03-29, DE</w:t>
      </w:r>
    </w:p>
    <w:p>
      <w:r>
        <w:rPr>
          <w:b/>
        </w:rPr>
        <w:t xml:space="preserve">Quelle: </w:t>
      </w:r>
      <w:r>
        <w:t>https://mcp.opencaselaw.ch/entscheid/bge_BGE_98_Ia_144</w:t>
      </w:r>
    </w:p>
    <w:p>
      <w:r>
        <w:t>FR: BGE BGE 98 Ia 144 du 29 mars 1972</w:t>
      </w:r>
    </w:p>
    <w:p>
      <w:r>
        <w:t>IT: BGE BGE 98 Ia 144 del 29 marzo 1972</w:t>
      </w:r>
    </w:p>
    <w:p>
      <w:pPr>
        <w:pStyle w:val="Heading2"/>
      </w:pPr>
      <w:r>
        <w:t>Regeste</w:t>
      </w:r>
    </w:p>
    <w:p>
      <w:r>
        <w:t>Regeste Art. 4 und 31 BV; Disziplinarrecht des Anwaltes. Auslegung von § 10 des zürcherischen Anwaltsgesetzes, der eine Beteiligung des Anwaltes am Prozesserfolg verbietet. Wann liegt in der Einschaltung eines Dritten (hier: einer AG) zwischen Klient und Anwalt eine Verletzung dieses Verbotes?</w:t>
      </w:r>
    </w:p>
    <w:p>
      <w:r>
        <w:t>Regeste Art. 4 et 31 Cst.; droit disciplinaire du barreau. Interprétation du § 10 de la loi zurichoise sur le barreau, qui interdit la participation de l'avocat au bénéfice du procès. Dans quel cas l'intervention d'un tiers, (ici une SA), intermédiaire entre l'avocat et son client, conduit-elle à une violation de cette règle?</w:t>
      </w:r>
    </w:p>
    <w:p>
      <w:r>
        <w:t>Regesto Art. 4 e 31 CF; diritto disciplinare dell'avvocato. Interpretazione del § 10 della legge zurighese sugli avvocati, la quale vieta la partecipazione dell'avvocato al beneficio del processo. In quale caso l'intervento di un terzo (qui: di una SA), intermediario tra l'avvocato e il cliente, porta alla violazione di questa regola?</w:t>
      </w:r>
    </w:p>
    <w:p>
      <w:pPr>
        <w:pStyle w:val="Heading2"/>
      </w:pPr>
      <w:r>
        <w:t>Erwägungen</w:t>
      </w:r>
    </w:p>
    <w:p>
      <w:r>
        <w:rPr>
          <w:b/>
        </w:rPr>
        <w:t>E. 1</w:t>
      </w:r>
    </w:p>
    <w:p>
      <w:r>
        <w:t>Dass die beiden Rechtsanwälte Dr. X. und Dr. Y. zur staatsrechtlichen Beschwerde legitimiert sind, steht ausser Zweifel. Hingegen ist die AG für Rechtsschutz in Fusionssachen durch den angefochtenen Entscheid nicht betroffen, da die disziplinarische Bestrafung eines Rechtsanwaltes wegen Verstosses gegen das Anwaltsrecht die Rechtsstellung seines Klienten grundsätzlich nicht berührt. Auf die Beschwerde der Fusag ist daher nicht einzutreten. Doch ist dies ohne Belang, da jedenfalls auf die Beschwerden der beiden Anwälte einzutreten ist und ihre Rügen sich mit denjenigen der Fusag decken.</w:t>
      </w:r>
    </w:p>
    <w:p>
      <w:r>
        <w:rPr>
          <w:b/>
        </w:rPr>
        <w:t>E. 2</w:t>
      </w:r>
    </w:p>
    <w:p>
      <w:r>
        <w:t>Gemäss § 10 Abs. 1 AG ist es dem Rechtsanwalt untersagt, "mit seinem Auftraggeber die Abrede zu treffen, dass er im Falle des Obsiegens in irgendwelcher Form am Prozessgewinn BGE 98 Ia 144 S. 148 teilhabe oder einen ungünstigen Ausgang des Prozesses auf sich nehme". a) In der Beschwerdebegründung wird nicht behauptet, dieses im Anwaltsrecht der Schweiz allgemein übliche Verbot eines Erfolgshonorars (pactum de quota litis) verstosse gegen Art. 31 BV . Offenbar wollen die Beschwerdeführer lediglich geltend machen, die Annahme eines unzulässigen pactum de quota litis im vorliegenden Fall sei willkürlich und verletze die Handels- und Gewerbefreiheit. b) Die Abrede, welche die Fusag mit Ursina-Franck-Aktionären über die Entschädigung traf (Ziff. 4 des Vertrages), ist an sich eine Vereinbarung, welche gemäss § 10 Abs. 1 AG dem Rechtsanwalt untersagt ist. Denn sie sieht vor, dass der Auftraggeber bei einem ungünstigen Ausgang des Prozesses dessen Kosten nicht zu tragen hat, während im Falle des Erfolges die Beauftragte (Fusag) eine Entschädigung von 20% des nach Abzug der Spesen verbleibenden "Mehrerlöses" beanspruchen kann. In welcher Weise als Ergebnis der Bemühungen der Fusag ein Gewinn erzielt werden könnte, braucht hier nicht im einzelnen untersucht zu werden. Auf jeden Fall zeigen der Aufruf an die Ursina-Franck-Aktionäre in Zeitungsinseraten und der Vertragstext, dass man den Auftraggebern durch die Intervention in der Fusionsfrage bestimmte finanzielle Vorteile zu verschaffen hoffte, die Auftraggeber aber vom Kostenrisiko des Vorgehens befreite und lediglich zur Überlassung von 20% des Mehrerlöses verpflichtete. Dass eine solche Vereinbarung gemäss § 10 AG zwischen Anwalt und Klient unzulässig ist, bedarf keiner weitern Begründung. c) Die eben erläuterte Vereinbarung über ein Erfolgshonorar wurde indessen nicht zwischen Dr. X. und Dr. Y. einerseits und Ursina-Franck-Aktionären oder der Fusag anderseits getroffen, sondern es handelt sich hier um eine Abmachung aus dem Vertrag, welchen die Fusag mit den einzelnen Interessenten (Ursina-Franck-Aktionären) schloss. Irgendeinem Privaten, der nicht Anwalt ist, wird durch § 10 AG nicht verwehrt, für die Verfechtung bestimmter Interessen eine Gemeinschaft von Betroffenen zu bilden, den Rechtsstreit jedoch in eigenem Namen und auf eigenes Risiko zu führen und sich von den übrigen Interessenten lediglich für den Erfolgsfall einen Gewinnanteil versprechen zu lassen. Wenn die Initianten, Gründer und Träger der Fusag irgendwelche von den BGE 98 Ia 144 S. 149 beteiligten Anwälten völlig unabhängige Dritte wären, dann läge keine Verletzung von § 10 AG vor, und zwar selbst dann nicht, wenn die bevollmächtigten Anwälte Kenntnis von der zwischen der Fusag und ihren Auftraggebern getroffenen Vereinbarung hätten, aber selber ohne Rücksicht auf den Erfolg nach Tarif entschädigt würden. Es ist dem Anwalt, entgegen den Ausführungen im angefochtenen Entscheid, nicht verboten, zu normalen Bedingungen für einen Klienten zu arbeiten, der ihn im Erfolgsfall aus dem Prozessgewinn zu bezahlen gedenkt. Verboten ist lediglich die Abhängigkeit der Honorarberechnung vom Prozesserfolg; hingegen kann sich § 10 AG nicht auf die häufige wirtschaftliche Tatsache beziehen, dass der Klient im Falle des Obsiegens die Anwaltsrechnung aus dem Prozessgewinn begleicht. d) Im vorliegenden Fall ist den Rechtsanwälten Dr. X. und Dr. Y. die Verabredung eines Erfolgshonorars zwischen der Fusag und ihren Auftraggebern zur Last zu legen, sofern sie selber die Fusag gründeten, um Ursina-Franck-Aktionäre als Kunden werben und indirekt ein Erfolgshonorar vereinbaren zu können. Wenn die Beschwerdeführer die Initianten und eigentlichen Träger der Fusag sind, wie in den Gegenbemerkungen zur staatsrechtlichen Beschwerde behauptet wird, dann würde dies bedeuten, dass Gewinne bzw. Verluste der Fusag sich unmittelbar auf sie und ihre allfälligen Anwaltshonorarforderungen auswirkten. Je nach den konkreten Verhältnissen und Abmachungen könnte es sein, dass bei einem Misserfolg der Bemühungen die Bezahlung der Anwaltsrechnungen aus nicht aus dem Vermögen der beiden Anwälte selber stammenden Mitteln gar nicht möglich wäre; die Übernahme des Prozessrisikos durch die Fusag wäre dann im Ergebnis einer nach § 10 AG verbotenen Übernahme des Prozessrisikos durch die beiden Anwälte gleichzusetzen. Ebenso käme bei dieser Annahme ein allfälliges Erfolgshonorar den Anwälten zugute; denn sie wären ja - offen oder durch Strohmänner getarnt - die wirtschaftlichen Träger der Fusag; was der Fusag zuflösse, flösse damit ihnen zu; ob es schliesslich als Anwaltshonorar, Dividende, Tantième oder Liquidationsergebnis ausgeschüttet würde, ist ohne Belang. Aber auch wenn von Dritten zur Verfügung gestellte Mittel der Fusag vorhanden wären, welche im Falle eines Misserfolges die Bezahlung der Anwaltsrechnungen erlauben würden, läge ein Verstoss gegen § 10 AG vor, wenn die beiden Beschwerdeführer an einem BGE 98 Ia 144 S. 150 Gewinn der Fusag direkt oder indirekt beteiligt wären; denn § 10 AG verbietet selbstverständlich auch, dass der Anwalt zwar seine Bemühungen nach Tarif verrechnet, aber darüber hinaus am Erfolgshonorar eines Dritten (hier der Fusag) partizipiert.</w:t>
      </w:r>
    </w:p>
    <w:p>
      <w:r>
        <w:rPr>
          <w:b/>
        </w:rPr>
        <w:t>E. 3</w:t>
      </w:r>
    </w:p>
    <w:p>
      <w:r>
        <w:t>Ob zwischen den beschuldigten Anwälten und der Fusag derart enge rechtliche oder tatsächliche Bindungen bestehen, dass die Honorarvereinbarungen der Fusag entsprechenden Vereinbarungen der Anwälte gleichzusetzen sind, lässt sich dem angefochtenen Entscheid nicht entnehmen. Die Feststellung, die Fusag wolle die Anwälte letzten Endes aus ihrem Anteil am Prozessgewinn bezahlen, weshalb die Anwälte indirekt Nutzniesser der Erfolgsbeteiligung seien, genügt nach dem Gesagten nicht, um eine Verletzung von § 10 AG anzunehmen; denn damit besteht noch keine Abhängigkeit der Honorarberechnung vom Erfolg. In ihren Gegenbemerkungen scheint dies die Aufsichtskommission anzuerkennen; sie begründet die Disziplinarstrafe nunmehr mit der im ursprünglichen Entscheid nicht enthaltenen Behauptung, die Fusag sei von den Beschuldigten zur Umgehung des Anwaltsgesetzes geschaffen worden und diese seien die eigentlichen Träger der Gesellschaft. Auf diese neue Begründung, die mit Hinweisen auf das Vorgehen von Dr. Y. in anderen Fällen gestützt wird, ist hier nicht einzutreten, weshalb auch ein zweiter Schriftenwechsel über diese Argumentation überflüssig war. Es ist Sache der Aufsichtskommission, genau abzuklären, ob die im konkreten Fall gegebene Beteiligung der Anwälte an der Fusag gegen das Anwaltsrecht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