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73</w:t>
      </w:r>
    </w:p>
    <w:p>
      <w:r>
        <w:t>Bundesgericht (BGE), 1972-01-01, DE</w:t>
      </w:r>
    </w:p>
    <w:p>
      <w:r>
        <w:rPr>
          <w:b/>
        </w:rPr>
        <w:t xml:space="preserve">Quelle: </w:t>
      </w:r>
      <w:r>
        <w:t>https://mcp.opencaselaw.ch/entscheid/bge_BGE_98_IV_73</w:t>
      </w:r>
    </w:p>
    <w:p>
      <w:r>
        <w:t>FR: ATF 98 IV 73</w:t>
      </w:r>
    </w:p>
    <w:p>
      <w:r>
        <w:t>IT: DTF 98 IV 73</w:t>
      </w:r>
    </w:p>
    <w:p>
      <w:pPr>
        <w:pStyle w:val="Heading2"/>
      </w:pPr>
      <w:r>
        <w:t>Regeste</w:t>
      </w:r>
    </w:p>
    <w:p>
      <w:r>
        <w:t>Regeste Art. 41 Ziff. 3 Abs. 3 StGB; Zuständigkeit zum Widerruf des bedingten Strafvollzuges. 1. Der Grundsatz der Nichtrückwirkung des Strafgesetzes gilt nicht für Verfahrens- und Gerichtsstandsbestimmungen. 2. Ausnahmen von dieser Regel.</w:t>
      </w:r>
    </w:p>
    <w:p>
      <w:r>
        <w:t>Regeste Art. 41 ch. 3 al. 3 CP; Compétence pour prononcer la révocation du sursis. 1. Le principe de la non-rétroactivité de la loi pénale ne vaut pas en matière de procédure ni de for. 2. Exceptions à cette règle.</w:t>
      </w:r>
    </w:p>
    <w:p>
      <w:r>
        <w:t>Regesto Art. 41 num. 3 cpv. 3 CP; competenza per pronunciare la revoca della sospensione condizionale della pena. 1. Il principio della non retroattività della legge penale non è applicabile in materia di procedura o di foro. 2. Eccezioni a questa regola.</w:t>
      </w:r>
    </w:p>
    <w:p>
      <w:pPr>
        <w:pStyle w:val="Heading2"/>
      </w:pPr>
      <w:r>
        <w:t>Erwägungen</w:t>
      </w:r>
    </w:p>
    <w:p>
      <w:r>
        <w:rPr>
          <w:b/>
        </w:rPr>
        <w:t>E. 1</w:t>
      </w:r>
    </w:p>
    <w:p>
      <w:r>
        <w:t>...</w:t>
      </w:r>
    </w:p>
    <w:p>
      <w:r>
        <w:rPr>
          <w:b/>
        </w:rPr>
        <w:t>E. 2</w:t>
      </w:r>
    </w:p>
    <w:p>
      <w:r>
        <w:t>Nach der am 1. Juli 1971 in Kraft getretenen neuen Fassung des Art. 41 Ziff. 3 Abs. 3 erster Satz StGB entscheidet bei Verbrechen oder Vergehen während der Probezeit der dafür zuständige Richter auch über den Vollzug der bedingt aufgeschobenen Strafe oder deren Ersatz durch die vorgesehenen Massnahmen. Demgegenüber war nach der früheren Ordnung das Gericht, das den bedingten Strafvollzug gewährt hatte, zum Widerruf zuständig, und dies selbst dann, wenn ein während der Probezeit ausserhalb seines Bereichs verübtes Verbrechen oder Vergehen den Grund dazu bildete. Diese Regelung hatte sich aus praktischen Gründen als unzweckmässig erwiesen, indem es wiederholt vorkam, dass der für den Widerruf zuständige Richter erst nach Jahren vom neuen Delikt Kenntnis erhielt und seinen Entscheid ausschliesslich auf Akten stützen musste. Deswegen hatte bereits der Entwurf des Bundesrates vorgesehen, dass der Richter, der das neue Delikt zu beurteilen hat, auch die Frage der Anordnung des Vollzuges der früheren Strafe entscheiden soll (s. GERMANN, Grundzüge der Partialrevision des schweiz. StGB durch das Gesetz vom 18.3.1971, in ZStR 1971, S. 350). Im vorliegenden Fall hat das Obergericht jene neue Zuständigkeitsbestimmung für anwendbar erachtet und entsprechend angenommen, dass über den Widerruf des dem Beschwerdeführer seinerzeit vom Bezirksgericht Bremgarten gewährten bedingten Strafvollzuges nicht dieses Gericht, sondern das BGE 98 IV 73 S. 75 Bezirksgericht Aarau hätte befinden müssen. Es hat dabei richtig erkannt, dass das Prinzip der Nichtrückwirkung des Strafgesetzes für Verfahrens- und Gerichtsstandsbestimmungen nicht gilt ( BGE 68 IV 62 , BGE 69 IV 138 , BGE 70 IV 88 ), diese vielmehr grundsätzlich mit dem Tage ihres Inkrafttretens sofort und in vollem Umfang anwendbar werden (s. GERMANN, Textausgabe, S. 8; SCHULTZ, Dreissig Jahre schweizer. StGB, in ZStR 1972, S. 15). Auch hat es nicht übersehen, dass diese Regel nicht uneingeschränkt gilt und Ausnahmen denkbar sind. Eine solche wird von SCHWANDER bezüglich Verfahrensvorschriften angenommen, die bloss im Hinblick auf Bestimmungen des neuen Rechts erlassen worden sind und die naturgemäss die Anwendung des Bundesstrafrechts, auf das sie Bezug haben, voraussetzen. Der genannte Autor zitiert als Beispiel hiefür die Zuständigkeit des Richters zum Widerruf des bedingten Strafvollzuges nach Art. 41 Ziff. 3 StGB (Das Schweizerische StGB. 2. Auflage, S. 34 Nr. 64). Wie jedoch die Vorinstanz zutreffend bemerkt, hat SCHWANDER dabei offensichtlich den Fall im Auge gehabt, wo die Zuständigkeit im Zusammenhang steht mit einer von Grund auf neuen Ordnung des materiellen Rechts. Tatsächlich kann denn auch das von ihm bereits in der ersten Auflage seines Werkes von 1952 angeführte Beispiel nicht auf die neue am 1. Juli 1971 in Kraft getretene Vorschrift des Art. 41 Ziff. 3 Abs. 3 StGB Bezug haben, sondern ist im Zusammenhang zu sehen mit der durch das StGB von 1942 eingeführten Ordnung, die sich - was den bedingten Strafvollzug anbelangt - zum Teil erheblich von den früheren kantonalen Rechten unterschied. Eine solche grundlegende Änderung in der materiellen Rechtslage hat jedoch die letzte Revision des Art. 41 StGB gegenüber der Fassung von 1950 nicht gebracht, so dass für die Vorinstanz kein Anlass bestand, aus solchem Grunde auf die frühere Zuständigkeitsordnung zurückzugreifen. Dagegen hat das Obergericht die Tragweite eines andern Umstandes verkannt, der ihm im vorliegenden Fall die Anwendbarkeit dieser Ordnung hätte nahelegen sollen. Wie sich nämlich aus seinem Entscheid ergibt, ist die vom Beschwerdeführer während der Probezeit begangene Straftat vom Bezirksgericht Aarau schon am 16. Juni 1971 beurteilt worden. Im Zeitpunkt, als der revidierte Art. 41 Ziff. 3 Abs. 3 StGB in Kraft trat, war demnach das Verfahren wegen des neuen Deliktes bereits BGE 98 IV 73 S. 76 abgeschlossen, und es konnte die durch das neue Recht angestrebte Prozessökonomie, nämlich die unmittelbare Folge von Strafurteil und Widerruf nicht mehr erreicht werden, was die ausnahmsweise Anwendung des alten Rechtes begründete (SCHULTZ, op.cit. S. 15 Anm. 44 a; BJM 1971, S. 288). Nach diesem aber war das Bezirksgericht Bremgarten zuständig zum Widerruf des bedingten Strafvollzuges. Da indessen das Obergericht trotz dem ihm in der Zuständigkeitsfrage unterlaufenen Irrtum von einer Aufhebung des Entscheides des Bezirksgerichtes Bremgarten aus Gründen der Zweckmässigkeit abgesehen und darauf abgestellt hat, kann es beim angefochtenen Urteil sein Bewenden haben, und es ist die Beschwerde, mit welcher die Unzuständigkeit des genannten Bezirksgerichtes gerügt wird, insoweit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