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65</w:t>
      </w:r>
    </w:p>
    <w:p>
      <w:r>
        <w:t>Bundesgericht (BGE), 1972-01-01, DE</w:t>
      </w:r>
    </w:p>
    <w:p>
      <w:r>
        <w:rPr>
          <w:b/>
        </w:rPr>
        <w:t xml:space="preserve">Quelle: </w:t>
      </w:r>
      <w:r>
        <w:t>https://mcp.opencaselaw.ch/entscheid/bge_BGE_98_IV_65</w:t>
      </w:r>
    </w:p>
    <w:p>
      <w:r>
        <w:t>FR: ATF 98 IV 65</w:t>
      </w:r>
    </w:p>
    <w:p>
      <w:r>
        <w:t>IT: DTF 98 IV 65</w:t>
      </w:r>
    </w:p>
    <w:p>
      <w:pPr>
        <w:pStyle w:val="Heading2"/>
      </w:pPr>
      <w:r>
        <w:t>Regeste</w:t>
      </w:r>
    </w:p>
    <w:p>
      <w:r>
        <w:t>Regeste Art. 18 Abs. 2 StGB. Willenselement beim einfachen (direkten) Vorsatz. An den Nachweis des Willens sind beim einfachen Vorsatz die gleichen Anforderungen zu stellen wie beim Eventualvorsatz. Es genügt, dass der deliktische Erfolg mitgewollt ist; er braucht nicht das vom Täter erstrebte Ziel zu sein.</w:t>
      </w:r>
    </w:p>
    <w:p>
      <w:r>
        <w:t>Regeste Art. 18 al. 2 CP. Volonté délictuelle en cas de dol simple (direct). En ce qui concerne le dol simple, il faut poser les mêmes exigences quant à la preuve de la volonté délictuelle que pour le dol éventuel. Il suffit que l'auteur ait également voulu le résultat délictueux et le but qu'il se proposait; il n'est pas nécessaire que ceux-ci coïncident.</w:t>
      </w:r>
    </w:p>
    <w:p>
      <w:r>
        <w:t>Regesto Art. 18 cpv. 2 CP. Volontà delittuosa nel caso di dolo semplice (diretto). Per quel che riguarda la prova della volontà criminosa occorre porre, per il dolo semplice, gli stessi requisiti che per il dolo eventuale. Basta che l'autore abbia egualmente voluto il risultato delittuoso e il fine che si proponeva; non è necessario che questi coincidano.</w:t>
      </w:r>
    </w:p>
    <w:p>
      <w:pPr>
        <w:pStyle w:val="Heading2"/>
      </w:pPr>
      <w:r>
        <w:t>Erwägungen</w:t>
      </w:r>
    </w:p>
    <w:p>
      <w:r>
        <w:rPr>
          <w:b/>
        </w:rPr>
        <w:t>E. 4</w:t>
      </w:r>
    </w:p>
    <w:p>
      <w:r>
        <w:t>Zu Unrecht bestreitet der Beschwerdeführer, die Triscal AG vorsätzlich getäuscht zu haben. Ob er, wie er behauptet, im Zeitpunkt des Vertragsschlusses mit der Triscal überzeugt und im guten Glauben gewesen sei, die im Jahre 1962 mit andern Partnern abgeschlossenen Konzessionsverträge seien längstens untergegangen, ist als innerer Vorgang Tatfrage. Die Vorinstanz hat sie verneint und in Würdigung der gesamten Umstände erklärt, der Beschwerdeführer habe gewusst, dass die früher geschlossenen Verträge, mindestens ein Teil von ihnen, noch gültig waren. Damit ist das für den direkten Vorsatz erforderliche Wissen verbindlich festgestellt und auf Nichtigkeitsbeschwerde hin nicht überprüfbar ( BGE 90 IV 78 Erw. 3, 120 Erw. 4). Nach der weitern verbindlichen Feststellung der Vorinstanz hat der Beschwerdeführer gebilligt, dass er sich über die bestehenden Verträge hinwegsetzte. Das kann nur dahin verstanden werden, dass er die im Verheimlichen der Verträge liegende Täuschung der Triscal AG in seinen Willensentschluss einbezogen, den eingetretenen Deliktserfolg also gewollt hat. Dass das Wort "billigen" ebenso wie die sachlich annähernd gleichbedeutenden Ausdrücke "in Kauf nehmen", "sich abfinden" u. dgl. im allgemeinen bei der Umschreibung des Willenselementes beim Eventualvorsatz gebräuchlich sind, ändert nichts. Der Eventualvorsatz unterscheidet sich vom einfachen oder direkten Vorsatz einzig durch das Wissen des Täters, indem er im ersten Fall den Eintritt des deliktischen Erfolges bloss für möglich hält, im zweiten dagegen als sicher voraussieht, während das Willenselement bei beiden Vorsatzformen in gleicher Weise erfüllt sein muss ( BGE 96 IV 99 /100). Gilt aber beim Eventualvorsatz zum Nachweis des Willens als ausreichend, dass der Täter den Erfolg in Kauf genommen hat, so ist nicht einzusehen, warum beim einfachen Vorsatz an den Nachweis des Willensmoments höhere Anforderungen gestellt werden sollten. Hiefür liegt umso weniger ein Grund vor, als sowohl beim einfachen Vorsatz wie beim Eventualvorsatz der deliktische Erfolg mit dem vom Täter erstrebten Ziel nicht übereinstimmen muss, sondern genügt, dass der Täter den deliktischen Erfolg, magihm dieser gleichgültig oder sogar unerwünscht sein, als notwendige Folge oder als Mittel zur Erreichung des BGE 98 IV 65 S. 67 verfolgten Zwecks in seinen Entschluss miteinbezogen hat (nicht veröffentlichtes Urteil des Kassationshofes vom 3. Februar 1967 i.S. Ulmann; SCHWANDER, Schweiz. Strafgesetzbuch, S. 92 Nr. 188; SCHULTZ, ZBJV 1967 S. 420; GERMANN, Das Verbrechen, S. 177/178; HAFTER, Allg. Teil, S. 119 Ziff. 2; LOGOZ, Kommentar zu Art. 18, N 5 lit. bb, S. 65). Gerade um die Fälle, in denen der deliktische Erfolg bloss "mitgewollt" ist, zu erfassen, wird denn auch in der Literatur das Willensmoment des einfachen Vorsatzes von verschiedenen Autoren mit dem Ausdruck des Inkaufnehmens umschrieben (GERMANN a.a.O., SCHWANDER a.a.O., HAFTER a.a.O.). Umso weniger ist zu beanstanden, dass die Vorinstanz das Wort "billigen" verwendet, das den Sinn der Zustimmung noch stärker zum Ausdruck 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