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279</w:t>
      </w:r>
    </w:p>
    <w:p>
      <w:r>
        <w:t>Bundesgericht (BGE), 1972-01-01, DE</w:t>
      </w:r>
    </w:p>
    <w:p>
      <w:r>
        <w:rPr>
          <w:b/>
        </w:rPr>
        <w:t xml:space="preserve">Quelle: </w:t>
      </w:r>
      <w:r>
        <w:t>https://mcp.opencaselaw.ch/entscheid/bge_BGE_98_IV_279</w:t>
      </w:r>
    </w:p>
    <w:p>
      <w:r>
        <w:t>FR: ATF 98 IV 279</w:t>
      </w:r>
    </w:p>
    <w:p>
      <w:r>
        <w:t>IT: DTF 98 IV 279</w:t>
      </w:r>
    </w:p>
    <w:p>
      <w:pPr>
        <w:pStyle w:val="Heading2"/>
      </w:pPr>
      <w:r>
        <w:t>Regeste</w:t>
      </w:r>
    </w:p>
    <w:p>
      <w:r>
        <w:t>Regeste Art. 27 Abs. 1 und 44 Abs. 1 SVG, Art. 13 Abs. 3 VRV und Art. 53 Abs. 1 SSV; Verlassen des Fahrstreifens. Wer von Anfang an bewusst falsch einspurt, um auf diese Weise rascher vorwärts zu kommen, macht sich wegen vorsätzlicher Missachtung der Einspurmarkierung strafbar (Erw. 1c). Art. 26 SVG; Vertrauensprinzip im Strassenverkehr. Sofern nicht besondere Umstände dagegen sprechen, darf der sich korrekt verhaltende Verkehrsteilnehmer damit rechnen, dass ein anderer Verkehrsteilnehmer den Verkehr nicht durch pflichtwidriges Verhalten gefährdet; diese Grundregel gilt auch für den Wartepflichtigen (Erw. 1 d). Art. 20 StGB; Rechtsirrtum (Erw. 2 a und b).</w:t>
      </w:r>
    </w:p>
    <w:p>
      <w:r>
        <w:t>Regeste Art. 27 al. 1 et 44 al. 1 LCR, art. 13 al. 3 OCR et art. 53 al. 1 OSR; changement de présélection. Celui qui s'abstient volontairement de s'engager immédiatement sur la voie de présélection appropriée, dans l'intention d'avancer plus rapidement, se rend coupable d'inobservation de la marque de présélection (consid. 1 c). Art. 26 LCR; principe dit de confiance en matière de circulation routière. A moins que des circonstances particulières ne laissent prévoir le contraire, l'usager qui roule correctement est en droit d'escompter que les autres usagers ne mettront pas le trafic en péril par un comportement contraire à leurs devoirs. Ce principe vaut également pour celui qui ne jouit pas de la priorité (consid. 1 d). Art. 20 CP; erreur de droit (consid. 2 a et b).</w:t>
      </w:r>
    </w:p>
    <w:p>
      <w:r>
        <w:t>Regesto Art. 27 cpv. 1 e 44 cpv. 1 LCStr, art. 13 cpv. 3 OCStr e art. 53 cpv. 1 OSStr; cambiamento di preselezione. Chi dall'inizio e intenzionalmente imbocca la preselezione sbagliata, allo scopo di avanzare più celermente, si rende colpevole di intenzionale trasgressione del segnale di preselezione (consid. 1 c). Art. 26 LCStr; principio della fiducia in materia di circolazione stradale. Salvo particolari circostanze in senso contrario, l'utente che circola correttamente è in diritto di ritenere che un altro utente non causerà pericoli al traffico con un comportamento scorretto. Questo principio vale anche per chi non ha diritto di precedenza (consid. 1 d). Art. 20 CP; errore di diritto (consid. 2 a, b).</w:t>
      </w:r>
    </w:p>
    <w:p>
      <w:pPr>
        <w:pStyle w:val="Heading2"/>
      </w:pPr>
      <w:r>
        <w:t>Erwägungen</w:t>
      </w:r>
    </w:p>
    <w:p>
      <w:r>
        <w:rPr>
          <w:b/>
        </w:rPr>
        <w:t>E. 1</w:t>
      </w:r>
    </w:p>
    <w:p>
      <w:r>
        <w:t>Die Nichtigkeitsbeschwerde Durrer wird gutgeheissen, der angefochtene Entscheid aufgehoben und die Sache zur Freisprechung an die Vorinstanz zurückgewiesen.</w:t>
      </w:r>
    </w:p>
    <w:p>
      <w:r>
        <w:rPr>
          <w:b/>
        </w:rPr>
        <w:t>E. 2</w:t>
      </w:r>
    </w:p>
    <w:p>
      <w:r>
        <w:t>Die Nichtigkeitsbeschwerde Imfeld wird teilweise gutgeheissen, der angefochtene Entscheid entsprechend aufgehoben und die Sache zu neuer Beurteilung im Sinne der Erwägungen an die Vorisntanz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