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205</w:t>
      </w:r>
    </w:p>
    <w:p>
      <w:r>
        <w:t>Bundesgericht (BGE), 1972-01-01, FR</w:t>
      </w:r>
    </w:p>
    <w:p>
      <w:r>
        <w:rPr>
          <w:b/>
        </w:rPr>
        <w:t xml:space="preserve">Quelle: </w:t>
      </w:r>
      <w:r>
        <w:t>https://mcp.opencaselaw.ch/entscheid/bge_BGE_98_IV_205</w:t>
      </w:r>
    </w:p>
    <w:p>
      <w:r>
        <w:t>FR: ATF 98 IV 205</w:t>
      </w:r>
    </w:p>
    <w:p>
      <w:r>
        <w:t>IT: DTF 98 IV 205</w:t>
      </w:r>
    </w:p>
    <w:p>
      <w:pPr>
        <w:pStyle w:val="Heading2"/>
      </w:pPr>
      <w:r>
        <w:t>Regeste</w:t>
      </w:r>
    </w:p>
    <w:p>
      <w:r>
        <w:t>Regeste Art. 217 StGB, Art. 156 ZGB. Die Vernachlässigung von Unterstützungspflichten ist am Erfüllungsort zu verfolgen. Dieser Ort befindet sich für die vom Richter nach Art. 156 Abs. 2 ZGB bestimmten Unterhaltsbeiträge am Wohnsitz des Kindes (Erw. 1). Art. 25 ZGB. Die Vorschrift, dass bevormundete Personen ihren Wohnsitz am Sitz der Vormundschaftsbehörde haben, gilt auch im Strafrecht (Erw. 1). Nachträgliche Änderung des Gerichtsstandes. Das Vorliegen eines Revisionsgrundes im Sinne von Art. 136 lit. d OG stellt einen triftigen Grund zur nachträglichen Änderung des von den Kantonen vereinbarten Gerichtsstandes dar (Erw. 2).</w:t>
      </w:r>
    </w:p>
    <w:p>
      <w:r>
        <w:t>Regeste Art. 217 CP, art. 156 CC. La violation d'une obligation d'entretien doit être poursuivie au lieu d'exécution. Ce lieu, s'agissant de la contribution fixée par le juge en application de l'art. 156 al. 2 CC, est au domicile de l'enfant (consid. 1). Art. 25 CC. Le domicile légal de la personne sous tutelle au siège de l'autorité tutélaire vaut également en matière pénale (consid. 1). Transfert du for de la poursuite pénale. Une inadvertance qui constituerait un motif de revision au sens de l'art. 136 litt. d OJ représente un motif déterminant de transférer le for de la poursuite pénale après que les cantons se sont mis d'accord à son sujet (consid. 2).</w:t>
      </w:r>
    </w:p>
    <w:p>
      <w:r>
        <w:t>Regesto Art. 217 CP, art. 156 CC. La violazione dei doveri di assistenza familiare dev'essere perseguita nel luogo d'esecuzione. Ove trattisi d'un contributo determinato dal giudice in applicazione dell'art. 156 cpv. 2 CC, tale luogo è quello del domicilio del figlio (consid. 1). Art. 25 CC. Il domicilio legale presso la sede dell'autorità tutoria della persona sotto tutela vale anche in materia penale (consid. 1). Trasferimento del foro dell'azione penale. Una svista suscettibile di costituire un motivo di revisione ai sensi dell'art. 136 lett. d OG è una ragione valida per trasferire il foro dell'azione penale convenuto tra i Cantoni (consid. 2).</w:t>
      </w:r>
    </w:p>
    <w:p>
      <w:pPr>
        <w:pStyle w:val="Heading2"/>
      </w:pPr>
      <w:r>
        <w:t>Erwägungen</w:t>
      </w:r>
    </w:p>
    <w:p>
      <w:r>
        <w:rPr>
          <w:b/>
        </w:rPr>
        <w:t>E. 1</w:t>
      </w:r>
    </w:p>
    <w:p>
      <w:r>
        <w:t>Tant la Cour de cassation que la Chambre d'accusation du Tribunal fédéral ont précisé que la violation d'une obligation d'entretien doit être poursuivie au lieu d'exécution (RO 69 IV 129, 81 IV 268; cf. RO 82 IV 70). Si la contribution d'entretien est due sous forme d'argent, ce lieu se trouve au domicile du créancier à l'époque du paiement (art. 74 al. 2 ch. 1 CO; art. 7 CC) et non là où il séjourne ou réside. La contribution fixée par le juge conformément à l'art. 156 al. 2 CC, en cas de divorce, appartient aux enfants dont l'entretien doit être assuré. Ce sont eux les créanciers (RO 69 II 68, 90 II 355), même si leur prétention est exercée par le détenteur de la puissance paternelle ou par le tuteur. La personne qui agit le fait alors pour leur compte, en qualité de représentant (RO 84 II 245, 90 II 355). En cas de poursuite pénale, le for ne BGE 98 IV 205 S. 208 se trouve dès lors pas au domicile de celle-ci, mais à celui de l'enfant. Le domicile légal de la personne sous tutelle est au siège de l'autorité tutélaire (art. 25 CC). On ne voit pas pourquoi il serait en matière pénale dérogé à cette notion générale. Si la jurisprudence a situé le for au domicile de l'enfant, c'est pour le rattacher à un point déterminé, indépendant de la situation, du comportement et de la personne du débiteur de l'obligation d'entretien et non pour accorder à celui qui a l'exercice des droits de l'enfant la faculté d'agir à son propre domicile ou pour une quelconque autre raison. L'arrêt cité par les autorités bernoises (RO 81 IV 268) n'apporte nullement une brèche à ce principe. Etaient en effet en cause non pas les droits de l'enfant, mais ceux de la collectivité publique elle-même qui, ayant placé des enfants dans un établissement, en application de l'art. 284 CC, agissait en vertu d'une subrogation. En l'espèce, le for de la poursuite pénale se trouve donc dans le canton de Berne, au siège de l'autorité tutélaire.</w:t>
      </w:r>
    </w:p>
    <w:p>
      <w:r>
        <w:rPr>
          <w:b/>
        </w:rPr>
        <w:t>E. 2</w:t>
      </w:r>
    </w:p>
    <w:p>
      <w:r>
        <w:t>Le transfert du for de la poursuite pénale après que les cantons se sont mis d'accord à son sujet n'est toutefois admissible que pour des motifs déterminants (RO 71 IV 61, 72 IV 41, 78 IV 206, 85 IV 210 consid. 3, 96 IV 93, 97 IV 150 consid. 2). Lorsque le Président du Tribunal de Courtelary et le Procureur général du canton de Neuchâtel sont convenus que le for de la poursuite pénale se trouvait dans le canton de Neuchâtel, ni l'un ni l'autre n'a mentionné le fait que la tutelle des enfants Morechta-Pagesy avait été instituée par l'Autorité tutélaire de Renan. Bien que ne ressortant pas expressément du dossier, ce point pouvait néanmoins en être déduit. Dans une lettre du 5 avril 1972 qui y figure, le conseil de la prévenue écrivait en effet au tuteur qu'il avait porté plainte contre "la décision de l'autorité tutélaire de Renan". Cette inadvertance des magistrats cantonaux constitue un motif déterminant au regard de la jurisprudence précitée; elle constituerait, si elle était imputable à la Chambre d'accusation du Tribunal fédéral, un motif de revision au sens de l'art. 136 litt. d OJ (RO 95 IV 43). A fortiori, elle est en l'espèce un motif d'admettre le transfert du for de la poursuite pénale. Le retard avec lequel les autorités neuchâteloises ont retourné le dossier aux autorités bernoises, le 19 septembre, ne change rien à cela. En effet, aucune mesure d'instruction n'a plus été BGE 98 IV 205 S. 209 ordonnée depuis le 14 juin; il appartenait au Président du Tribunal de La Chaux-de-Fonds de se déterminer sur le déclinatoire soulevé par l'accusée, ce qu'il a fait le 16 août en déclarant son incompétence. On ne saurait voir là un retard inadmissible. Le for désigné se justifie enfin d'autant plus que l'accusée est domiciliée dans le canton de Berne. Dispositiv Par ces motifs, la Chambre d'accusation: Déclare les autorités bernoises compétentes aux fins de poursuivre et de juger les infractions imputées à dame Cattin-Pagesy.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